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51D9" w14:textId="77777777" w:rsidR="00FB3B5B" w:rsidRPr="00DE537F" w:rsidRDefault="0061648F" w:rsidP="00D4680C">
      <w:pPr>
        <w:spacing w:before="120"/>
        <w:jc w:val="right"/>
        <w:rPr>
          <w:rFonts w:asciiTheme="majorBidi" w:hAnsiTheme="majorBidi" w:cstheme="majorBidi"/>
          <w:b/>
          <w:szCs w:val="24"/>
          <w:lang w:val="en-GB" w:eastAsia="ru-RU"/>
        </w:rPr>
      </w:pPr>
      <w:bookmarkStart w:id="0" w:name="_Toc447632538"/>
      <w:r w:rsidRPr="00DE537F">
        <w:rPr>
          <w:rFonts w:asciiTheme="majorBidi" w:hAnsiTheme="majorBidi" w:cstheme="majorBidi"/>
          <w:b/>
          <w:szCs w:val="24"/>
          <w:lang w:val="en-GB" w:eastAsia="ru-RU"/>
        </w:rPr>
        <w:t xml:space="preserve">Attachment </w:t>
      </w:r>
      <w:r w:rsidR="00376E6A" w:rsidRPr="00DE537F">
        <w:rPr>
          <w:rFonts w:asciiTheme="majorBidi" w:hAnsiTheme="majorBidi" w:cstheme="majorBidi"/>
          <w:b/>
          <w:szCs w:val="24"/>
          <w:lang w:val="en-GB" w:eastAsia="ru-RU"/>
        </w:rPr>
        <w:t>№</w:t>
      </w:r>
      <w:bookmarkEnd w:id="0"/>
      <w:r w:rsidR="00F77CDF">
        <w:rPr>
          <w:rFonts w:asciiTheme="majorBidi" w:hAnsiTheme="majorBidi" w:cstheme="majorBidi"/>
          <w:b/>
          <w:szCs w:val="24"/>
          <w:lang w:val="bg-BG" w:eastAsia="ru-RU"/>
        </w:rPr>
        <w:t xml:space="preserve"> </w:t>
      </w:r>
      <w:r w:rsidR="009C0452" w:rsidRPr="00DE537F">
        <w:rPr>
          <w:rFonts w:asciiTheme="majorBidi" w:hAnsiTheme="majorBidi" w:cstheme="majorBidi"/>
          <w:b/>
          <w:szCs w:val="24"/>
          <w:lang w:val="en-GB" w:eastAsia="ru-RU"/>
        </w:rPr>
        <w:t>1</w:t>
      </w:r>
    </w:p>
    <w:p w14:paraId="0CBBE3A7" w14:textId="77777777" w:rsidR="00D4680C" w:rsidRPr="00DE537F" w:rsidRDefault="00CD13BD" w:rsidP="00D4680C">
      <w:pPr>
        <w:spacing w:before="120"/>
        <w:jc w:val="right"/>
        <w:rPr>
          <w:rFonts w:asciiTheme="majorBidi" w:hAnsiTheme="majorBidi" w:cstheme="majorBidi"/>
          <w:b/>
          <w:szCs w:val="24"/>
          <w:lang w:val="en-GB" w:eastAsia="ru-RU"/>
        </w:rPr>
      </w:pPr>
      <w:r>
        <w:rPr>
          <w:rFonts w:asciiTheme="majorBidi" w:hAnsiTheme="majorBidi" w:cstheme="majorBidi"/>
          <w:bCs/>
          <w:szCs w:val="24"/>
          <w:lang w:eastAsia="ru-RU"/>
        </w:rPr>
        <w:t>T</w:t>
      </w:r>
      <w:r w:rsidR="0061648F" w:rsidRPr="00DE537F">
        <w:rPr>
          <w:rFonts w:asciiTheme="majorBidi" w:hAnsiTheme="majorBidi" w:cstheme="majorBidi"/>
          <w:bCs/>
          <w:szCs w:val="24"/>
          <w:lang w:val="en-GB" w:eastAsia="ru-RU"/>
        </w:rPr>
        <w:t>o Instructions for Bidder</w:t>
      </w:r>
    </w:p>
    <w:p w14:paraId="1F192DD9" w14:textId="77777777" w:rsidR="009067B8" w:rsidRPr="00DE537F" w:rsidRDefault="009067B8" w:rsidP="00D4680C">
      <w:pPr>
        <w:spacing w:before="120"/>
        <w:jc w:val="left"/>
        <w:rPr>
          <w:rFonts w:asciiTheme="majorBidi" w:hAnsiTheme="majorBidi" w:cstheme="majorBidi"/>
          <w:bCs/>
          <w:color w:val="0000FF"/>
          <w:szCs w:val="24"/>
          <w:lang w:val="en-GB"/>
        </w:rPr>
      </w:pPr>
    </w:p>
    <w:tbl>
      <w:tblPr>
        <w:tblW w:w="9781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236"/>
      </w:tblGrid>
      <w:tr w:rsidR="002F6B13" w:rsidRPr="00DE537F" w14:paraId="496540BC" w14:textId="77777777" w:rsidTr="00E003C7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0AFCE" w14:textId="77777777" w:rsidR="00CF5625" w:rsidRPr="00DE537F" w:rsidRDefault="0061648F" w:rsidP="00D4680C">
            <w:pPr>
              <w:pStyle w:val="a3"/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Information about the tender</w:t>
            </w:r>
            <w:r w:rsidR="00E70BD2" w:rsidRPr="00DE537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  <w:tr w:rsidR="002F6B13" w:rsidRPr="00DE537F" w14:paraId="32264CAC" w14:textId="77777777" w:rsidTr="00C82C3E">
        <w:trPr>
          <w:trHeight w:val="24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5067" w14:textId="77777777" w:rsidR="00CF5625" w:rsidRPr="00DE537F" w:rsidRDefault="00CF5625" w:rsidP="00EF01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 xml:space="preserve">I. </w:t>
            </w:r>
            <w:r w:rsidR="0061648F"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General information</w:t>
            </w:r>
            <w:r w:rsidR="00EF0125"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.</w:t>
            </w:r>
          </w:p>
        </w:tc>
      </w:tr>
      <w:tr w:rsidR="0061648F" w:rsidRPr="00DE537F" w14:paraId="45F9E7D4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2061" w14:textId="77777777" w:rsidR="0061648F" w:rsidRPr="00DE537F" w:rsidRDefault="0061648F" w:rsidP="00925564">
            <w:pPr>
              <w:pStyle w:val="a9"/>
              <w:numPr>
                <w:ilvl w:val="1"/>
                <w:numId w:val="4"/>
              </w:numPr>
              <w:tabs>
                <w:tab w:val="left" w:pos="460"/>
              </w:tabs>
              <w:spacing w:before="60" w:after="60"/>
              <w:ind w:left="0" w:firstLine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>Tender Organizer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E11" w14:textId="77777777" w:rsidR="0061648F" w:rsidRPr="00DE537F" w:rsidRDefault="0061648F" w:rsidP="0061648F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strike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szCs w:val="24"/>
                <w:lang w:val="en-GB"/>
              </w:rPr>
              <w:t>LUKOIL Neftohim Burgas AD</w:t>
            </w:r>
          </w:p>
        </w:tc>
      </w:tr>
      <w:tr w:rsidR="006D1179" w:rsidRPr="00DE537F" w14:paraId="1C6A60FE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C96" w14:textId="77777777" w:rsidR="006D1179" w:rsidRPr="00DE537F" w:rsidRDefault="0061648F" w:rsidP="00925564">
            <w:pPr>
              <w:pStyle w:val="a9"/>
              <w:numPr>
                <w:ilvl w:val="1"/>
                <w:numId w:val="4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>Number of the tender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431C" w14:textId="621CB468" w:rsidR="006D1179" w:rsidRPr="007F0C98" w:rsidRDefault="0061648F" w:rsidP="00506622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b/>
                <w:bCs/>
                <w:color w:val="0000FF"/>
                <w:szCs w:val="24"/>
                <w:lang w:val="bg-BG"/>
              </w:rPr>
            </w:pPr>
            <w:r w:rsidRPr="00DE537F">
              <w:rPr>
                <w:szCs w:val="24"/>
                <w:lang w:val="en-GB"/>
              </w:rPr>
              <w:t>Tender</w:t>
            </w:r>
            <w:r w:rsidR="00C0342B" w:rsidRPr="00DE537F">
              <w:rPr>
                <w:szCs w:val="24"/>
                <w:lang w:val="en-GB"/>
              </w:rPr>
              <w:t xml:space="preserve"> №</w:t>
            </w:r>
            <w:r w:rsidR="00DD1238">
              <w:rPr>
                <w:szCs w:val="24"/>
                <w:lang w:val="bg-BG"/>
              </w:rPr>
              <w:t xml:space="preserve"> </w:t>
            </w:r>
            <w:r w:rsidR="000D4A00" w:rsidRPr="00FB3D26">
              <w:rPr>
                <w:b/>
              </w:rPr>
              <w:t>LNB-202</w:t>
            </w:r>
            <w:r w:rsidR="00D32EE1">
              <w:rPr>
                <w:b/>
              </w:rPr>
              <w:t>4</w:t>
            </w:r>
            <w:r w:rsidR="000D4A00" w:rsidRPr="00FB3D26">
              <w:rPr>
                <w:b/>
              </w:rPr>
              <w:t>-</w:t>
            </w:r>
            <w:r w:rsidR="00C97A34">
              <w:rPr>
                <w:b/>
                <w:lang w:val="bg-BG"/>
              </w:rPr>
              <w:t>1</w:t>
            </w:r>
            <w:r w:rsidR="0026661E">
              <w:rPr>
                <w:b/>
                <w:lang w:val="bg-BG"/>
              </w:rPr>
              <w:t>21</w:t>
            </w:r>
          </w:p>
        </w:tc>
      </w:tr>
      <w:tr w:rsidR="006D1179" w:rsidRPr="00DE537F" w14:paraId="68080D2F" w14:textId="77777777" w:rsidTr="00C82C3E">
        <w:trPr>
          <w:trHeight w:val="59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F41" w14:textId="77777777" w:rsidR="006D1179" w:rsidRPr="00DE537F" w:rsidRDefault="0061648F" w:rsidP="00925564">
            <w:pPr>
              <w:pStyle w:val="a9"/>
              <w:numPr>
                <w:ilvl w:val="1"/>
                <w:numId w:val="4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 xml:space="preserve">Subject of the tender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562E" w14:textId="762F36FE" w:rsidR="005C4F26" w:rsidRPr="005C4F26" w:rsidRDefault="003E1F98" w:rsidP="00506622">
            <w:pPr>
              <w:tabs>
                <w:tab w:val="right" w:pos="7272"/>
              </w:tabs>
              <w:spacing w:after="120"/>
              <w:rPr>
                <w:szCs w:val="24"/>
                <w:lang w:val="bg-BG"/>
              </w:rPr>
            </w:pPr>
            <w:r w:rsidRPr="005B4DF6">
              <w:rPr>
                <w:szCs w:val="24"/>
                <w:lang w:val="en-GB"/>
              </w:rPr>
              <w:t xml:space="preserve">Supply </w:t>
            </w:r>
            <w:r w:rsidR="000D4A00" w:rsidRPr="000D4A00">
              <w:rPr>
                <w:szCs w:val="24"/>
                <w:lang w:val="en-GB"/>
              </w:rPr>
              <w:t xml:space="preserve">of </w:t>
            </w:r>
            <w:r w:rsidR="0026661E" w:rsidRPr="00FC5C81">
              <w:rPr>
                <w:szCs w:val="24"/>
              </w:rPr>
              <w:t>heat exchange</w:t>
            </w:r>
            <w:r w:rsidR="0026661E">
              <w:rPr>
                <w:szCs w:val="24"/>
              </w:rPr>
              <w:t xml:space="preserve"> equipment</w:t>
            </w:r>
          </w:p>
        </w:tc>
      </w:tr>
      <w:tr w:rsidR="00DD1238" w:rsidRPr="00AA4774" w14:paraId="67732735" w14:textId="77777777" w:rsidTr="00D32EE1">
        <w:trPr>
          <w:trHeight w:val="2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243" w14:textId="77777777" w:rsidR="00DD1238" w:rsidRPr="00056CD3" w:rsidRDefault="0034230E" w:rsidP="00925564">
            <w:pPr>
              <w:pStyle w:val="a9"/>
              <w:numPr>
                <w:ilvl w:val="1"/>
                <w:numId w:val="4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056CD3">
              <w:rPr>
                <w:rFonts w:asciiTheme="majorBidi" w:hAnsiTheme="majorBidi" w:cstheme="majorBidi"/>
                <w:lang w:val="en-US"/>
              </w:rPr>
              <w:t>Description of the subject of the tender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42E" w14:textId="06E0A433" w:rsidR="00506622" w:rsidRPr="00A0138A" w:rsidRDefault="00506622" w:rsidP="006517B2">
            <w:pPr>
              <w:tabs>
                <w:tab w:val="left" w:pos="526"/>
                <w:tab w:val="right" w:pos="7272"/>
              </w:tabs>
              <w:spacing w:after="120"/>
              <w:rPr>
                <w:szCs w:val="24"/>
                <w:lang w:val="en-GB"/>
              </w:rPr>
            </w:pPr>
            <w:r w:rsidRPr="00A0138A">
              <w:rPr>
                <w:szCs w:val="24"/>
                <w:lang w:val="en-GB"/>
              </w:rPr>
              <w:t xml:space="preserve">Supply </w:t>
            </w:r>
            <w:r w:rsidR="00D32EE1" w:rsidRPr="00CD13BD">
              <w:rPr>
                <w:szCs w:val="24"/>
                <w:lang w:val="en-GB"/>
              </w:rPr>
              <w:t xml:space="preserve">of </w:t>
            </w:r>
            <w:r w:rsidR="0026661E">
              <w:rPr>
                <w:szCs w:val="24"/>
                <w:lang w:val="bg-BG"/>
              </w:rPr>
              <w:t>4</w:t>
            </w:r>
            <w:r w:rsidR="00D32EE1" w:rsidRPr="00D32EE1">
              <w:rPr>
                <w:szCs w:val="24"/>
                <w:lang w:val="en-GB"/>
              </w:rPr>
              <w:t xml:space="preserve"> pcs. </w:t>
            </w:r>
            <w:r w:rsidR="00C97A34" w:rsidRPr="00FC5C81">
              <w:rPr>
                <w:szCs w:val="24"/>
              </w:rPr>
              <w:t>tube bundles</w:t>
            </w:r>
            <w:r w:rsidR="00D32EE1">
              <w:rPr>
                <w:szCs w:val="24"/>
                <w:lang w:val="bg-BG"/>
              </w:rPr>
              <w:t>;</w:t>
            </w:r>
          </w:p>
          <w:p w14:paraId="2A4E4943" w14:textId="3B2C3F12" w:rsidR="00506622" w:rsidRDefault="006C1479" w:rsidP="005E6FFD">
            <w:pPr>
              <w:tabs>
                <w:tab w:val="right" w:pos="7272"/>
              </w:tabs>
              <w:spacing w:after="120"/>
              <w:rPr>
                <w:szCs w:val="24"/>
                <w:lang w:val="bg-BG"/>
              </w:rPr>
            </w:pPr>
            <w:r w:rsidRPr="006C1479">
              <w:rPr>
                <w:szCs w:val="24"/>
              </w:rPr>
              <w:t>Recommended delivery period</w:t>
            </w:r>
            <w:r w:rsidR="00506622" w:rsidRPr="006C1479">
              <w:rPr>
                <w:szCs w:val="24"/>
                <w:lang w:val="bg-BG"/>
              </w:rPr>
              <w:t>:</w:t>
            </w:r>
          </w:p>
          <w:p w14:paraId="2B7C75F9" w14:textId="213774A3" w:rsidR="00C97A34" w:rsidRPr="006517B2" w:rsidRDefault="006517B2" w:rsidP="006517B2">
            <w:pPr>
              <w:tabs>
                <w:tab w:val="right" w:pos="7272"/>
              </w:tabs>
              <w:spacing w:after="60"/>
              <w:ind w:firstLine="462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- </w:t>
            </w:r>
            <w:r w:rsidR="0026661E" w:rsidRPr="006517B2">
              <w:rPr>
                <w:szCs w:val="24"/>
              </w:rPr>
              <w:t>Tube bundle for heat exchanger T-1/1</w:t>
            </w:r>
            <w:r w:rsidR="00C97A34" w:rsidRPr="006517B2">
              <w:rPr>
                <w:bCs/>
                <w:szCs w:val="24"/>
                <w:lang w:val="bg-BG"/>
              </w:rPr>
              <w:t>;</w:t>
            </w:r>
          </w:p>
          <w:p w14:paraId="27E1C457" w14:textId="625D496E" w:rsidR="00C97A34" w:rsidRPr="006517B2" w:rsidRDefault="006517B2" w:rsidP="006517B2">
            <w:pPr>
              <w:tabs>
                <w:tab w:val="right" w:pos="7272"/>
              </w:tabs>
              <w:spacing w:after="60"/>
              <w:ind w:firstLine="462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- </w:t>
            </w:r>
            <w:r w:rsidR="0026661E" w:rsidRPr="006517B2">
              <w:rPr>
                <w:szCs w:val="24"/>
              </w:rPr>
              <w:t>Tube bundle for heat exchanger T-1/2</w:t>
            </w:r>
            <w:r w:rsidR="00C97A34" w:rsidRPr="006517B2">
              <w:rPr>
                <w:szCs w:val="24"/>
                <w:lang w:val="bg-BG"/>
              </w:rPr>
              <w:t xml:space="preserve">; </w:t>
            </w:r>
          </w:p>
          <w:p w14:paraId="40DB88C4" w14:textId="60C433F4" w:rsidR="00C97A34" w:rsidRPr="006517B2" w:rsidRDefault="006517B2" w:rsidP="006517B2">
            <w:pPr>
              <w:tabs>
                <w:tab w:val="right" w:pos="7272"/>
              </w:tabs>
              <w:spacing w:after="60"/>
              <w:ind w:firstLine="462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- </w:t>
            </w:r>
            <w:r w:rsidR="0026661E" w:rsidRPr="006517B2">
              <w:rPr>
                <w:szCs w:val="24"/>
              </w:rPr>
              <w:t>Tube bundle for heat exchanger T-1/4</w:t>
            </w:r>
            <w:r w:rsidR="00C97A34" w:rsidRPr="006517B2">
              <w:rPr>
                <w:szCs w:val="24"/>
                <w:lang w:val="bg-BG"/>
              </w:rPr>
              <w:t>;</w:t>
            </w:r>
          </w:p>
          <w:p w14:paraId="1F08EE92" w14:textId="0A69FDD4" w:rsidR="00C97A34" w:rsidRPr="006517B2" w:rsidRDefault="006517B2" w:rsidP="006517B2">
            <w:pPr>
              <w:tabs>
                <w:tab w:val="right" w:pos="7272"/>
              </w:tabs>
              <w:spacing w:after="120"/>
              <w:ind w:firstLine="459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- </w:t>
            </w:r>
            <w:r w:rsidR="0026661E" w:rsidRPr="006517B2">
              <w:rPr>
                <w:szCs w:val="24"/>
              </w:rPr>
              <w:t>Tube bundle for heat exchanger T-1/4A</w:t>
            </w:r>
            <w:r w:rsidR="0026661E" w:rsidRPr="006517B2">
              <w:rPr>
                <w:szCs w:val="24"/>
                <w:lang w:val="bg-BG"/>
              </w:rPr>
              <w:t>,</w:t>
            </w:r>
          </w:p>
          <w:p w14:paraId="410DCFA0" w14:textId="20F54495" w:rsidR="00C97A34" w:rsidRPr="006517B2" w:rsidRDefault="0026661E" w:rsidP="0026661E">
            <w:pPr>
              <w:spacing w:after="120"/>
              <w:rPr>
                <w:bCs/>
                <w:szCs w:val="24"/>
                <w:lang w:val="bg-BG"/>
              </w:rPr>
            </w:pPr>
            <w:r w:rsidRPr="006517B2">
              <w:rPr>
                <w:bCs/>
                <w:szCs w:val="24"/>
              </w:rPr>
              <w:t>n</w:t>
            </w:r>
            <w:r w:rsidRPr="006517B2">
              <w:rPr>
                <w:rStyle w:val="af1"/>
                <w:b w:val="0"/>
                <w:szCs w:val="24"/>
              </w:rPr>
              <w:t>ot later than:</w:t>
            </w:r>
            <w:r w:rsidRPr="006517B2">
              <w:rPr>
                <w:rStyle w:val="af1"/>
                <w:bCs w:val="0"/>
                <w:szCs w:val="24"/>
                <w:lang w:val="bg-BG"/>
              </w:rPr>
              <w:t xml:space="preserve"> </w:t>
            </w:r>
            <w:r w:rsidRPr="006517B2">
              <w:rPr>
                <w:bCs/>
                <w:szCs w:val="24"/>
              </w:rPr>
              <w:t>March 1</w:t>
            </w:r>
            <w:r w:rsidRPr="006517B2">
              <w:rPr>
                <w:bCs/>
                <w:szCs w:val="24"/>
                <w:vertAlign w:val="superscript"/>
              </w:rPr>
              <w:t>st</w:t>
            </w:r>
            <w:r w:rsidRPr="006517B2">
              <w:rPr>
                <w:bCs/>
                <w:szCs w:val="24"/>
              </w:rPr>
              <w:t xml:space="preserve"> 2025</w:t>
            </w:r>
            <w:r w:rsidR="00C97A34" w:rsidRPr="006517B2">
              <w:rPr>
                <w:bCs/>
                <w:szCs w:val="24"/>
                <w:lang w:val="bg-BG"/>
              </w:rPr>
              <w:t xml:space="preserve"> </w:t>
            </w:r>
          </w:p>
          <w:p w14:paraId="185D4CEF" w14:textId="17994D1F" w:rsidR="00CE40DF" w:rsidRPr="005E6FFD" w:rsidRDefault="00A71703" w:rsidP="005E6FFD">
            <w:pPr>
              <w:tabs>
                <w:tab w:val="right" w:pos="7272"/>
              </w:tabs>
              <w:spacing w:before="120" w:after="120"/>
              <w:rPr>
                <w:szCs w:val="24"/>
                <w:lang w:val="bg-BG"/>
              </w:rPr>
            </w:pPr>
            <w:r w:rsidRPr="006C1479">
              <w:rPr>
                <w:szCs w:val="24"/>
              </w:rPr>
              <w:t>Terms of delivery</w:t>
            </w:r>
            <w:r w:rsidRPr="006C1479">
              <w:rPr>
                <w:szCs w:val="24"/>
                <w:lang w:val="bg-BG"/>
              </w:rPr>
              <w:t>:</w:t>
            </w:r>
            <w:r w:rsidRPr="006C1479">
              <w:rPr>
                <w:szCs w:val="24"/>
              </w:rPr>
              <w:t xml:space="preserve"> according to INCOTERMS 2020, DDP/ DAP LUKOIL Neftohim Burgas AD</w:t>
            </w:r>
            <w:r w:rsidR="005E6FFD">
              <w:rPr>
                <w:szCs w:val="24"/>
                <w:lang w:val="bg-BG"/>
              </w:rPr>
              <w:t>;</w:t>
            </w:r>
          </w:p>
          <w:p w14:paraId="4E5D2C23" w14:textId="02175BA3" w:rsidR="00583505" w:rsidRPr="00277BEE" w:rsidRDefault="00277BEE" w:rsidP="006055EC">
            <w:pPr>
              <w:tabs>
                <w:tab w:val="right" w:pos="7272"/>
              </w:tabs>
              <w:spacing w:before="120" w:after="120"/>
              <w:rPr>
                <w:noProof/>
                <w:szCs w:val="24"/>
                <w:highlight w:val="yellow"/>
                <w:lang w:val="bg-BG"/>
              </w:rPr>
            </w:pPr>
            <w:r w:rsidRPr="00277BEE">
              <w:rPr>
                <w:szCs w:val="24"/>
              </w:rPr>
              <w:t>Guarantee period for the delivered equipment:</w:t>
            </w:r>
            <w:r w:rsidRPr="00277BEE">
              <w:rPr>
                <w:noProof/>
                <w:szCs w:val="24"/>
              </w:rPr>
              <w:t xml:space="preserve"> not less than 24 </w:t>
            </w:r>
            <w:r w:rsidRPr="00277BEE">
              <w:rPr>
                <w:szCs w:val="24"/>
              </w:rPr>
              <w:t>(</w:t>
            </w:r>
            <w:r w:rsidRPr="00277BEE">
              <w:rPr>
                <w:rStyle w:val="rynqvb"/>
                <w:szCs w:val="24"/>
                <w:lang w:val="en"/>
              </w:rPr>
              <w:t>twenty-four</w:t>
            </w:r>
            <w:r w:rsidRPr="00277BEE">
              <w:rPr>
                <w:szCs w:val="24"/>
              </w:rPr>
              <w:t>)</w:t>
            </w:r>
            <w:r w:rsidRPr="00277BEE">
              <w:rPr>
                <w:noProof/>
                <w:szCs w:val="24"/>
              </w:rPr>
              <w:t xml:space="preserve"> months from goods delivery date</w:t>
            </w:r>
            <w:r w:rsidRPr="00277BEE">
              <w:rPr>
                <w:szCs w:val="24"/>
              </w:rPr>
              <w:t>.</w:t>
            </w:r>
          </w:p>
        </w:tc>
      </w:tr>
      <w:tr w:rsidR="0061648F" w:rsidRPr="00DE537F" w14:paraId="11BF94DE" w14:textId="77777777" w:rsidTr="00C82C3E">
        <w:trPr>
          <w:trHeight w:val="2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1D0E" w14:textId="77777777" w:rsidR="0061648F" w:rsidRPr="00DE537F" w:rsidRDefault="0061648F" w:rsidP="00925564">
            <w:pPr>
              <w:pStyle w:val="a9"/>
              <w:numPr>
                <w:ilvl w:val="1"/>
                <w:numId w:val="4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>Type of tender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524" w14:textId="77777777" w:rsidR="0061648F" w:rsidRPr="003E5F8F" w:rsidRDefault="0061648F" w:rsidP="003E5F8F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i/>
                <w:iCs/>
                <w:szCs w:val="24"/>
                <w:lang w:val="en-GB"/>
              </w:rPr>
            </w:pPr>
            <w:r w:rsidRPr="003E5F8F">
              <w:rPr>
                <w:rFonts w:asciiTheme="majorBidi" w:hAnsiTheme="majorBidi" w:cstheme="majorBidi"/>
                <w:szCs w:val="24"/>
                <w:lang w:val="en-GB"/>
              </w:rPr>
              <w:t>Open</w:t>
            </w:r>
            <w:r w:rsidR="003E5F8F" w:rsidRPr="003E5F8F">
              <w:rPr>
                <w:rFonts w:asciiTheme="majorBidi" w:hAnsiTheme="majorBidi" w:cstheme="majorBidi"/>
                <w:szCs w:val="24"/>
                <w:lang w:val="bg-BG"/>
              </w:rPr>
              <w:t xml:space="preserve"> </w:t>
            </w:r>
            <w:r w:rsidR="003E5F8F" w:rsidRPr="003E5F8F">
              <w:rPr>
                <w:rFonts w:asciiTheme="majorBidi" w:hAnsiTheme="majorBidi" w:cstheme="majorBidi"/>
                <w:szCs w:val="24"/>
              </w:rPr>
              <w:t>tender</w:t>
            </w:r>
            <w:r w:rsidRPr="003E5F8F">
              <w:rPr>
                <w:rFonts w:asciiTheme="majorBidi" w:hAnsiTheme="majorBidi" w:cstheme="majorBidi"/>
                <w:szCs w:val="24"/>
                <w:lang w:val="en-GB"/>
              </w:rPr>
              <w:t xml:space="preserve"> with bidding </w:t>
            </w:r>
          </w:p>
        </w:tc>
      </w:tr>
      <w:tr w:rsidR="00E9098E" w:rsidRPr="00DE537F" w14:paraId="17F9582C" w14:textId="77777777" w:rsidTr="0011433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B381" w14:textId="77777777" w:rsidR="00E9098E" w:rsidRPr="00DE537F" w:rsidRDefault="00E9098E" w:rsidP="00BC1C56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II</w:t>
            </w:r>
            <w:r w:rsidR="00EF0125"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 xml:space="preserve">. </w:t>
            </w:r>
            <w:r w:rsidR="0061648F"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Minimum qualification requirements to Bidder for admittance to participation in a tender</w:t>
            </w:r>
            <w:r w:rsidR="00EF0125"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.</w:t>
            </w:r>
          </w:p>
        </w:tc>
      </w:tr>
      <w:tr w:rsidR="003E0A55" w:rsidRPr="00DE537F" w14:paraId="1E797723" w14:textId="77777777" w:rsidTr="005B33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0A6" w14:textId="195B88DB" w:rsidR="003E0A55" w:rsidRPr="0053157B" w:rsidRDefault="001364B3" w:rsidP="003E0A55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53157B">
              <w:rPr>
                <w:rFonts w:ascii="Times New Roman" w:hAnsi="Times New Roman"/>
                <w:lang w:val="en-GB"/>
              </w:rPr>
              <w:t>2.1.</w:t>
            </w:r>
            <w:r w:rsidR="007E4369">
              <w:rPr>
                <w:rFonts w:ascii="Times New Roman" w:hAnsi="Times New Roman"/>
                <w:lang w:val="bg-BG"/>
              </w:rPr>
              <w:t xml:space="preserve"> </w:t>
            </w:r>
            <w:r w:rsidR="003E0A55" w:rsidRPr="0053157B">
              <w:rPr>
                <w:rFonts w:ascii="Times New Roman" w:hAnsi="Times New Roman"/>
                <w:lang w:val="en-GB"/>
              </w:rPr>
              <w:t>Technical compliance of the proposal.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0C7" w14:textId="5D89EDB4" w:rsidR="00860BD3" w:rsidRDefault="00DF6612" w:rsidP="0053157B">
            <w:pPr>
              <w:spacing w:after="60"/>
              <w:rPr>
                <w:iCs/>
                <w:lang w:val="en-GB"/>
              </w:rPr>
            </w:pPr>
            <w:r>
              <w:rPr>
                <w:iCs/>
              </w:rPr>
              <w:t xml:space="preserve">The </w:t>
            </w:r>
            <w:r w:rsidRPr="008D1B1F">
              <w:rPr>
                <w:iCs/>
              </w:rPr>
              <w:t xml:space="preserve">Bidder </w:t>
            </w:r>
            <w:r>
              <w:rPr>
                <w:iCs/>
              </w:rPr>
              <w:t>shall</w:t>
            </w:r>
            <w:r w:rsidRPr="008D1B1F">
              <w:rPr>
                <w:iCs/>
              </w:rPr>
              <w:t xml:space="preserve"> provide a </w:t>
            </w:r>
            <w:r>
              <w:rPr>
                <w:iCs/>
              </w:rPr>
              <w:t>t</w:t>
            </w:r>
            <w:r w:rsidRPr="008D1B1F">
              <w:rPr>
                <w:iCs/>
              </w:rPr>
              <w:t xml:space="preserve">echnical </w:t>
            </w:r>
            <w:r>
              <w:rPr>
                <w:iCs/>
              </w:rPr>
              <w:t>p</w:t>
            </w:r>
            <w:r w:rsidRPr="008D1B1F">
              <w:rPr>
                <w:iCs/>
              </w:rPr>
              <w:t xml:space="preserve">roposal in accordance with the requirements </w:t>
            </w:r>
            <w:r>
              <w:rPr>
                <w:iCs/>
              </w:rPr>
              <w:t xml:space="preserve">set out </w:t>
            </w:r>
            <w:r w:rsidRPr="008D1B1F">
              <w:rPr>
                <w:iCs/>
              </w:rPr>
              <w:t xml:space="preserve">in </w:t>
            </w:r>
            <w:r>
              <w:rPr>
                <w:iCs/>
              </w:rPr>
              <w:t>Client’s</w:t>
            </w:r>
            <w:r w:rsidRPr="008D1B1F">
              <w:rPr>
                <w:iCs/>
              </w:rPr>
              <w:t xml:space="preserve"> tender documentation - </w:t>
            </w:r>
            <w:r w:rsidRPr="008D1B1F">
              <w:rPr>
                <w:color w:val="000000"/>
                <w:lang w:eastAsia="bg-BG"/>
              </w:rPr>
              <w:t xml:space="preserve">full compliance with the Technical </w:t>
            </w:r>
            <w:r>
              <w:rPr>
                <w:color w:val="000000"/>
                <w:lang w:eastAsia="bg-BG"/>
              </w:rPr>
              <w:t xml:space="preserve">Inquiry </w:t>
            </w:r>
            <w:r w:rsidRPr="008D1B1F">
              <w:rPr>
                <w:color w:val="000000"/>
                <w:lang w:eastAsia="bg-BG"/>
              </w:rPr>
              <w:t xml:space="preserve">(type, </w:t>
            </w:r>
            <w:r>
              <w:rPr>
                <w:color w:val="000000"/>
                <w:lang w:eastAsia="bg-BG"/>
              </w:rPr>
              <w:t>kind</w:t>
            </w:r>
            <w:r w:rsidRPr="008D1B1F">
              <w:rPr>
                <w:color w:val="000000"/>
                <w:lang w:eastAsia="bg-BG"/>
              </w:rPr>
              <w:t>, technical parameters, quantities)</w:t>
            </w:r>
            <w:r>
              <w:rPr>
                <w:color w:val="000000"/>
                <w:lang w:eastAsia="bg-BG"/>
              </w:rPr>
              <w:t>,</w:t>
            </w:r>
            <w:r w:rsidRPr="008D1B1F">
              <w:rPr>
                <w:iCs/>
              </w:rPr>
              <w:t xml:space="preserve"> including as follows:</w:t>
            </w:r>
          </w:p>
          <w:p w14:paraId="0EC26F48" w14:textId="49F12B4A" w:rsidR="003E0A55" w:rsidRPr="0053157B" w:rsidRDefault="00A01367" w:rsidP="00D32EE1">
            <w:pPr>
              <w:spacing w:before="60" w:after="60"/>
              <w:ind w:firstLine="462"/>
              <w:rPr>
                <w:iCs/>
                <w:szCs w:val="24"/>
                <w:lang w:val="bg-BG"/>
              </w:rPr>
            </w:pPr>
            <w:r w:rsidRPr="00D32EE1">
              <w:rPr>
                <w:iCs/>
                <w:szCs w:val="24"/>
                <w:lang w:val="bg-BG"/>
              </w:rPr>
              <w:t xml:space="preserve">- </w:t>
            </w:r>
            <w:r w:rsidR="007E4369" w:rsidRPr="008D1B1F">
              <w:rPr>
                <w:iCs/>
              </w:rPr>
              <w:t xml:space="preserve">Material execution - materials for </w:t>
            </w:r>
            <w:r w:rsidR="007E4369">
              <w:rPr>
                <w:iCs/>
              </w:rPr>
              <w:t>the fabrication of</w:t>
            </w:r>
            <w:r w:rsidR="007E4369" w:rsidRPr="008D1B1F">
              <w:rPr>
                <w:iCs/>
              </w:rPr>
              <w:t xml:space="preserve"> the tube bundles</w:t>
            </w:r>
            <w:r w:rsidR="0053157B" w:rsidRPr="00D32EE1">
              <w:rPr>
                <w:szCs w:val="24"/>
              </w:rPr>
              <w:t>;</w:t>
            </w:r>
          </w:p>
          <w:p w14:paraId="5433E097" w14:textId="65F06147" w:rsidR="005B334A" w:rsidRPr="0053157B" w:rsidRDefault="005B334A" w:rsidP="00D32EE1">
            <w:pPr>
              <w:spacing w:before="60" w:after="60"/>
              <w:ind w:firstLine="462"/>
              <w:rPr>
                <w:iCs/>
                <w:szCs w:val="24"/>
              </w:rPr>
            </w:pPr>
            <w:r w:rsidRPr="00EA1753">
              <w:rPr>
                <w:noProof/>
                <w:szCs w:val="24"/>
                <w:lang w:val="bg-BG"/>
              </w:rPr>
              <w:t xml:space="preserve">- </w:t>
            </w:r>
            <w:r w:rsidR="007E4369" w:rsidRPr="00EA1753">
              <w:rPr>
                <w:iCs/>
              </w:rPr>
              <w:t>Technical parameters for the fabrication of the tube bundles - dimensions, structure, covering the requirement for the tubes (for the construction of the tube bundle) to be one-piece with dimensions as per EN 10220:2004 (EN ISO 1127:2000, respectively, and all weld seams shall be inspected and tested as per BDS EN 13445-5:2021)</w:t>
            </w:r>
            <w:r w:rsidR="0053157B" w:rsidRPr="00EA1753">
              <w:rPr>
                <w:szCs w:val="24"/>
              </w:rPr>
              <w:t>;</w:t>
            </w:r>
          </w:p>
          <w:p w14:paraId="653BECFA" w14:textId="06B1A59F" w:rsidR="00875D36" w:rsidRDefault="0053157B" w:rsidP="00D32EE1">
            <w:pPr>
              <w:spacing w:before="60" w:after="60"/>
              <w:ind w:firstLine="462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="007E4369">
              <w:rPr>
                <w:color w:val="000000"/>
                <w:lang w:eastAsia="bg-BG"/>
              </w:rPr>
              <w:t>Bidder shall</w:t>
            </w:r>
            <w:r w:rsidR="007E4369" w:rsidRPr="008D1B1F">
              <w:rPr>
                <w:color w:val="000000"/>
                <w:lang w:eastAsia="bg-BG"/>
              </w:rPr>
              <w:t xml:space="preserve"> provide a declaration that the delivery of the equipment will be accompanied by all the documents described in point </w:t>
            </w:r>
            <w:r w:rsidR="007E4369">
              <w:rPr>
                <w:color w:val="000000"/>
                <w:lang w:val="bg-BG" w:eastAsia="bg-BG"/>
              </w:rPr>
              <w:t>4</w:t>
            </w:r>
            <w:r w:rsidR="007E4369" w:rsidRPr="008D1B1F">
              <w:rPr>
                <w:color w:val="000000"/>
                <w:lang w:eastAsia="bg-BG"/>
              </w:rPr>
              <w:t xml:space="preserve"> of </w:t>
            </w:r>
            <w:r w:rsidR="007E4369">
              <w:rPr>
                <w:color w:val="000000"/>
                <w:lang w:eastAsia="bg-BG"/>
              </w:rPr>
              <w:t>Form 3</w:t>
            </w:r>
            <w:r w:rsidRPr="00D32EE1">
              <w:rPr>
                <w:szCs w:val="24"/>
              </w:rPr>
              <w:t>;</w:t>
            </w:r>
          </w:p>
          <w:p w14:paraId="677C1689" w14:textId="005B4A9A" w:rsidR="00A01367" w:rsidRPr="007E4369" w:rsidRDefault="0053157B" w:rsidP="007E4369">
            <w:pPr>
              <w:spacing w:before="60" w:after="60"/>
              <w:ind w:firstLine="462"/>
              <w:rPr>
                <w:szCs w:val="24"/>
                <w:lang w:val="bg-BG"/>
              </w:rPr>
            </w:pPr>
            <w:r>
              <w:rPr>
                <w:b/>
                <w:szCs w:val="24"/>
              </w:rPr>
              <w:t xml:space="preserve">- </w:t>
            </w:r>
            <w:r w:rsidR="007E4369" w:rsidRPr="007E4369">
              <w:rPr>
                <w:szCs w:val="24"/>
              </w:rPr>
              <w:t>Guarantee period for the delivered equipment:</w:t>
            </w:r>
            <w:r w:rsidR="007E4369" w:rsidRPr="007E4369">
              <w:rPr>
                <w:noProof/>
                <w:szCs w:val="24"/>
              </w:rPr>
              <w:t xml:space="preserve"> not less than 24 </w:t>
            </w:r>
            <w:r w:rsidR="007E4369" w:rsidRPr="007E4369">
              <w:rPr>
                <w:szCs w:val="24"/>
              </w:rPr>
              <w:t>(</w:t>
            </w:r>
            <w:r w:rsidR="007E4369" w:rsidRPr="007E4369">
              <w:rPr>
                <w:rStyle w:val="rynqvb"/>
                <w:szCs w:val="24"/>
                <w:lang w:val="en"/>
              </w:rPr>
              <w:t>twenty-four</w:t>
            </w:r>
            <w:r w:rsidR="007E4369" w:rsidRPr="007E4369">
              <w:rPr>
                <w:szCs w:val="24"/>
              </w:rPr>
              <w:t>)</w:t>
            </w:r>
            <w:r w:rsidR="007E4369" w:rsidRPr="007E4369">
              <w:rPr>
                <w:noProof/>
                <w:szCs w:val="24"/>
              </w:rPr>
              <w:t xml:space="preserve"> months from goods delivery date</w:t>
            </w:r>
            <w:r w:rsidR="007E4369">
              <w:rPr>
                <w:szCs w:val="24"/>
                <w:lang w:val="bg-BG"/>
              </w:rPr>
              <w:t>.</w:t>
            </w:r>
          </w:p>
        </w:tc>
      </w:tr>
      <w:tr w:rsidR="007E4369" w:rsidRPr="00DE537F" w14:paraId="15BAB7F6" w14:textId="77777777" w:rsidTr="005B33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1B3" w14:textId="405C0D53" w:rsidR="007E4369" w:rsidRPr="0053157B" w:rsidRDefault="007E4369" w:rsidP="003E0A55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9D1A1D">
              <w:rPr>
                <w:rFonts w:ascii="Times New Roman" w:hAnsi="Times New Roman"/>
                <w:lang w:val="bg-BG"/>
              </w:rPr>
              <w:t>2.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9D1A1D">
              <w:rPr>
                <w:rFonts w:ascii="Times New Roman" w:hAnsi="Times New Roman"/>
                <w:lang w:val="bg-BG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9D1A1D">
              <w:rPr>
                <w:rFonts w:ascii="Times New Roman" w:hAnsi="Times New Roman"/>
                <w:lang w:val="en-US"/>
              </w:rPr>
              <w:t>revious experience</w:t>
            </w:r>
            <w:r>
              <w:rPr>
                <w:rFonts w:ascii="Times New Roman" w:hAnsi="Times New Roman"/>
                <w:lang w:val="en-US"/>
              </w:rPr>
              <w:t xml:space="preserve"> of the Bidder.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BD1" w14:textId="1CC24BB6" w:rsidR="007E4369" w:rsidRDefault="007E4369" w:rsidP="0053157B">
            <w:pPr>
              <w:spacing w:after="60"/>
              <w:rPr>
                <w:iCs/>
              </w:rPr>
            </w:pPr>
            <w:bookmarkStart w:id="1" w:name="_Hlk166580890"/>
            <w:r w:rsidRPr="0051338B">
              <w:rPr>
                <w:iCs/>
                <w:szCs w:val="24"/>
              </w:rPr>
              <w:t xml:space="preserve">The Bidder shall have successfully implemented minimum 3 (three) contracts of similar nature and complexity </w:t>
            </w:r>
            <w:r w:rsidRPr="006B2767">
              <w:rPr>
                <w:szCs w:val="24"/>
              </w:rPr>
              <w:t>in equipment manufacture and/or delivery within</w:t>
            </w:r>
            <w:r w:rsidRPr="0051338B">
              <w:rPr>
                <w:iCs/>
                <w:szCs w:val="24"/>
              </w:rPr>
              <w:t xml:space="preserve"> the subject of the tender, concluded during the last 5 (five) years (2023, 2022, 2021, 2020 and 2019)</w:t>
            </w:r>
            <w:r w:rsidR="00D00FDF">
              <w:rPr>
                <w:iCs/>
                <w:szCs w:val="24"/>
                <w:lang w:val="bg-BG"/>
              </w:rPr>
              <w:t>.</w:t>
            </w:r>
            <w:bookmarkEnd w:id="1"/>
          </w:p>
        </w:tc>
      </w:tr>
      <w:tr w:rsidR="007E4369" w:rsidRPr="00DE537F" w14:paraId="5D01A9A9" w14:textId="77777777" w:rsidTr="005B334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9B47" w14:textId="43AD34B8" w:rsidR="007E4369" w:rsidRPr="007E4369" w:rsidRDefault="007E4369" w:rsidP="003E0A55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 xml:space="preserve">2.3. </w:t>
            </w:r>
            <w:r w:rsidRPr="007E4369">
              <w:rPr>
                <w:rFonts w:ascii="Times New Roman" w:hAnsi="Times New Roman"/>
                <w:lang w:val="en-US"/>
              </w:rPr>
              <w:t>Origin of goods</w:t>
            </w:r>
            <w:r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2ED" w14:textId="73572E2F" w:rsidR="007E4369" w:rsidRPr="0051338B" w:rsidRDefault="007E4369" w:rsidP="0053157B">
            <w:pPr>
              <w:spacing w:after="60"/>
              <w:rPr>
                <w:iCs/>
                <w:szCs w:val="24"/>
              </w:rPr>
            </w:pPr>
            <w:r>
              <w:rPr>
                <w:color w:val="000000"/>
                <w:lang w:eastAsia="bg-BG"/>
              </w:rPr>
              <w:t>Bidder shall</w:t>
            </w:r>
            <w:r w:rsidRPr="008D1B1F">
              <w:rPr>
                <w:color w:val="000000"/>
                <w:lang w:eastAsia="bg-BG"/>
              </w:rPr>
              <w:t xml:space="preserve"> indicate the origin of the goods. In case the goods originate from a country outside the European Union, </w:t>
            </w:r>
            <w:r>
              <w:rPr>
                <w:color w:val="000000"/>
                <w:lang w:eastAsia="bg-BG"/>
              </w:rPr>
              <w:t>Bidder shall</w:t>
            </w:r>
            <w:r w:rsidRPr="008D1B1F">
              <w:rPr>
                <w:color w:val="000000"/>
                <w:lang w:eastAsia="bg-BG"/>
              </w:rPr>
              <w:t xml:space="preserve"> provide a </w:t>
            </w:r>
            <w:r>
              <w:rPr>
                <w:color w:val="000000"/>
                <w:lang w:eastAsia="bg-BG"/>
              </w:rPr>
              <w:t>t</w:t>
            </w:r>
            <w:r w:rsidRPr="008D1B1F">
              <w:rPr>
                <w:color w:val="000000"/>
                <w:lang w:eastAsia="bg-BG"/>
              </w:rPr>
              <w:t xml:space="preserve">ariff </w:t>
            </w:r>
            <w:r>
              <w:rPr>
                <w:color w:val="000000"/>
                <w:lang w:eastAsia="bg-BG"/>
              </w:rPr>
              <w:t>c</w:t>
            </w:r>
            <w:r w:rsidRPr="008D1B1F">
              <w:rPr>
                <w:color w:val="000000"/>
                <w:lang w:eastAsia="bg-BG"/>
              </w:rPr>
              <w:t xml:space="preserve">ustoms </w:t>
            </w:r>
            <w:r>
              <w:rPr>
                <w:color w:val="000000"/>
                <w:lang w:eastAsia="bg-BG"/>
              </w:rPr>
              <w:t>c</w:t>
            </w:r>
            <w:r w:rsidRPr="008D1B1F">
              <w:rPr>
                <w:color w:val="000000"/>
                <w:lang w:eastAsia="bg-BG"/>
              </w:rPr>
              <w:t xml:space="preserve">ode </w:t>
            </w:r>
            <w:r>
              <w:rPr>
                <w:color w:val="000000"/>
                <w:lang w:eastAsia="bg-BG"/>
              </w:rPr>
              <w:t>which will be</w:t>
            </w:r>
            <w:r w:rsidRPr="008D1B1F">
              <w:rPr>
                <w:color w:val="000000"/>
                <w:lang w:eastAsia="bg-BG"/>
              </w:rPr>
              <w:t xml:space="preserve"> used for verification in the register of the </w:t>
            </w:r>
            <w:r>
              <w:rPr>
                <w:color w:val="000000"/>
                <w:lang w:eastAsia="bg-BG"/>
              </w:rPr>
              <w:t>C</w:t>
            </w:r>
            <w:r w:rsidRPr="008D1B1F">
              <w:rPr>
                <w:color w:val="000000"/>
                <w:lang w:eastAsia="bg-BG"/>
              </w:rPr>
              <w:t xml:space="preserve">ustoms </w:t>
            </w:r>
            <w:r>
              <w:rPr>
                <w:color w:val="000000"/>
                <w:lang w:eastAsia="bg-BG"/>
              </w:rPr>
              <w:t>S</w:t>
            </w:r>
            <w:r w:rsidRPr="008D1B1F">
              <w:rPr>
                <w:color w:val="000000"/>
                <w:lang w:eastAsia="bg-BG"/>
              </w:rPr>
              <w:t xml:space="preserve">ervices. If, after the </w:t>
            </w:r>
            <w:r>
              <w:rPr>
                <w:color w:val="000000"/>
                <w:lang w:eastAsia="bg-BG"/>
              </w:rPr>
              <w:t>verification</w:t>
            </w:r>
            <w:r w:rsidRPr="008D1B1F">
              <w:rPr>
                <w:color w:val="000000"/>
                <w:lang w:eastAsia="bg-BG"/>
              </w:rPr>
              <w:t xml:space="preserve">, it is found that the </w:t>
            </w:r>
            <w:r>
              <w:rPr>
                <w:color w:val="000000"/>
                <w:lang w:eastAsia="bg-BG"/>
              </w:rPr>
              <w:t>t</w:t>
            </w:r>
            <w:r w:rsidRPr="008D1B1F">
              <w:rPr>
                <w:color w:val="000000"/>
                <w:lang w:eastAsia="bg-BG"/>
              </w:rPr>
              <w:t xml:space="preserve">ariff </w:t>
            </w:r>
            <w:r>
              <w:rPr>
                <w:color w:val="000000"/>
                <w:lang w:eastAsia="bg-BG"/>
              </w:rPr>
              <w:t>c</w:t>
            </w:r>
            <w:r w:rsidRPr="008D1B1F">
              <w:rPr>
                <w:color w:val="000000"/>
                <w:lang w:eastAsia="bg-BG"/>
              </w:rPr>
              <w:t xml:space="preserve">ustoms </w:t>
            </w:r>
            <w:r>
              <w:rPr>
                <w:color w:val="000000"/>
                <w:lang w:eastAsia="bg-BG"/>
              </w:rPr>
              <w:t>c</w:t>
            </w:r>
            <w:r w:rsidRPr="008D1B1F">
              <w:rPr>
                <w:color w:val="000000"/>
                <w:lang w:eastAsia="bg-BG"/>
              </w:rPr>
              <w:t xml:space="preserve">ode falls under imposed sanctions, Bidder </w:t>
            </w:r>
            <w:r>
              <w:rPr>
                <w:color w:val="000000"/>
                <w:lang w:eastAsia="bg-BG"/>
              </w:rPr>
              <w:t xml:space="preserve">will not be admitted </w:t>
            </w:r>
            <w:r w:rsidRPr="008D1B1F">
              <w:rPr>
                <w:color w:val="000000"/>
                <w:lang w:eastAsia="bg-BG"/>
              </w:rPr>
              <w:t>to participat</w:t>
            </w:r>
            <w:r>
              <w:rPr>
                <w:color w:val="000000"/>
                <w:lang w:eastAsia="bg-BG"/>
              </w:rPr>
              <w:t>ing</w:t>
            </w:r>
            <w:r w:rsidRPr="008D1B1F">
              <w:rPr>
                <w:color w:val="000000"/>
                <w:lang w:eastAsia="bg-BG"/>
              </w:rPr>
              <w:t xml:space="preserve"> in the second stage of the tender.</w:t>
            </w:r>
          </w:p>
        </w:tc>
      </w:tr>
      <w:tr w:rsidR="0053157B" w:rsidRPr="00DE537F" w14:paraId="3A4E4747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4AEC" w14:textId="30790484" w:rsidR="0053157B" w:rsidRPr="008B4B6F" w:rsidRDefault="0053157B" w:rsidP="0053157B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8B4B6F">
              <w:rPr>
                <w:rFonts w:ascii="Times New Roman" w:hAnsi="Times New Roman"/>
                <w:lang w:val="en-GB"/>
              </w:rPr>
              <w:t>2.</w:t>
            </w:r>
            <w:r w:rsidR="00DB048D">
              <w:rPr>
                <w:rFonts w:ascii="Times New Roman" w:hAnsi="Times New Roman"/>
                <w:lang w:val="bg-BG"/>
              </w:rPr>
              <w:t>4</w:t>
            </w:r>
            <w:r w:rsidRPr="008B4B6F">
              <w:rPr>
                <w:rFonts w:ascii="Times New Roman" w:hAnsi="Times New Roman"/>
                <w:lang w:val="en-GB"/>
              </w:rPr>
              <w:t>. Compliance with requirements for control of quality (ISO 9001)</w:t>
            </w:r>
            <w:r w:rsidRPr="008B4B6F">
              <w:rPr>
                <w:rFonts w:ascii="Times New Roman" w:hAnsi="Times New Roman"/>
                <w:iCs/>
                <w:lang w:val="en-GB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00E" w14:textId="68331934" w:rsidR="0053157B" w:rsidRPr="00F2516D" w:rsidRDefault="00F2516D" w:rsidP="0053157B">
            <w:pPr>
              <w:autoSpaceDE w:val="0"/>
              <w:autoSpaceDN w:val="0"/>
              <w:adjustRightInd w:val="0"/>
              <w:spacing w:before="60" w:after="60"/>
              <w:ind w:right="27"/>
              <w:rPr>
                <w:szCs w:val="24"/>
                <w:lang w:val="en-GB" w:eastAsia="ru-RU"/>
              </w:rPr>
            </w:pPr>
            <w:r w:rsidRPr="00F2516D">
              <w:rPr>
                <w:iCs/>
                <w:szCs w:val="24"/>
                <w:lang w:val="en-GB" w:eastAsia="ru-RU"/>
              </w:rPr>
              <w:t>The</w:t>
            </w:r>
            <w:r w:rsidRPr="00F2516D">
              <w:rPr>
                <w:rStyle w:val="af2"/>
                <w:b/>
                <w:szCs w:val="24"/>
              </w:rPr>
              <w:t xml:space="preserve"> </w:t>
            </w:r>
            <w:r w:rsidRPr="00F2516D">
              <w:rPr>
                <w:szCs w:val="24"/>
                <w:lang w:val="en-GB" w:eastAsia="ru-RU"/>
              </w:rPr>
              <w:t xml:space="preserve">Bidder </w:t>
            </w:r>
            <w:r w:rsidRPr="00F2516D">
              <w:rPr>
                <w:iCs/>
                <w:szCs w:val="24"/>
              </w:rPr>
              <w:t xml:space="preserve">shall present a valid certificate in terms of quality management system (ISO 9001) </w:t>
            </w:r>
            <w:r w:rsidRPr="00F2516D">
              <w:rPr>
                <w:iCs/>
                <w:szCs w:val="24"/>
                <w:lang w:val="en-GB"/>
              </w:rPr>
              <w:t>of the</w:t>
            </w:r>
            <w:r w:rsidRPr="00F2516D">
              <w:rPr>
                <w:b/>
                <w:iCs/>
                <w:szCs w:val="24"/>
                <w:lang w:val="en-GB"/>
              </w:rPr>
              <w:t xml:space="preserve"> Manufacturer</w:t>
            </w:r>
            <w:r w:rsidRPr="00F2516D">
              <w:rPr>
                <w:szCs w:val="24"/>
                <w:lang w:val="en-GB"/>
              </w:rPr>
              <w:t>.</w:t>
            </w:r>
          </w:p>
        </w:tc>
      </w:tr>
      <w:tr w:rsidR="00DB048D" w:rsidRPr="00DE537F" w14:paraId="5DD8B046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6ED8" w14:textId="2CA8ADC0" w:rsidR="00DB048D" w:rsidRPr="008B4B6F" w:rsidRDefault="00DB048D" w:rsidP="0053157B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bg-BG"/>
              </w:rPr>
              <w:t xml:space="preserve">2.5. </w:t>
            </w:r>
            <w:r>
              <w:rPr>
                <w:rFonts w:asciiTheme="majorBidi" w:hAnsiTheme="majorBidi" w:cstheme="majorBidi"/>
                <w:lang w:val="en-US"/>
              </w:rPr>
              <w:t>Acceptance of the draft contract proposed.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679" w14:textId="248AD25F" w:rsidR="00DB048D" w:rsidRPr="00F2516D" w:rsidRDefault="00DB048D" w:rsidP="0053157B">
            <w:pPr>
              <w:autoSpaceDE w:val="0"/>
              <w:autoSpaceDN w:val="0"/>
              <w:adjustRightInd w:val="0"/>
              <w:spacing w:before="60" w:after="60"/>
              <w:ind w:right="27"/>
              <w:rPr>
                <w:iCs/>
                <w:szCs w:val="24"/>
                <w:lang w:val="en-GB" w:eastAsia="ru-RU"/>
              </w:rPr>
            </w:pPr>
            <w:r>
              <w:rPr>
                <w:color w:val="000000"/>
                <w:lang w:eastAsia="bg-BG"/>
              </w:rPr>
              <w:t>Bidder</w:t>
            </w:r>
            <w:r w:rsidRPr="008D1B1F">
              <w:rPr>
                <w:color w:val="000000"/>
                <w:lang w:eastAsia="bg-BG"/>
              </w:rPr>
              <w:t xml:space="preserve"> confirms that </w:t>
            </w:r>
            <w:r>
              <w:rPr>
                <w:color w:val="000000"/>
                <w:lang w:eastAsia="bg-BG"/>
              </w:rPr>
              <w:t>Bidder</w:t>
            </w:r>
            <w:r w:rsidRPr="008D1B1F">
              <w:rPr>
                <w:color w:val="000000"/>
                <w:lang w:eastAsia="bg-BG"/>
              </w:rPr>
              <w:t xml:space="preserve"> accepts the form, structure and content of the contract </w:t>
            </w:r>
            <w:r>
              <w:rPr>
                <w:color w:val="000000"/>
                <w:lang w:eastAsia="bg-BG"/>
              </w:rPr>
              <w:t>drawn up</w:t>
            </w:r>
            <w:r w:rsidRPr="008D1B1F">
              <w:rPr>
                <w:color w:val="000000"/>
                <w:lang w:eastAsia="bg-BG"/>
              </w:rPr>
              <w:t xml:space="preserve"> by LUKOIL Neftohim Burgas AD</w:t>
            </w:r>
            <w:r>
              <w:rPr>
                <w:color w:val="000000"/>
                <w:lang w:eastAsia="bg-BG"/>
              </w:rPr>
              <w:t>.</w:t>
            </w:r>
          </w:p>
        </w:tc>
      </w:tr>
      <w:tr w:rsidR="0053157B" w:rsidRPr="00DE537F" w14:paraId="78BD904C" w14:textId="77777777" w:rsidTr="00ED248E">
        <w:trPr>
          <w:trHeight w:val="5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3F7D" w14:textId="77777777" w:rsidR="0053157B" w:rsidRPr="003D1390" w:rsidRDefault="0053157B" w:rsidP="0053157B">
            <w:pPr>
              <w:tabs>
                <w:tab w:val="right" w:pos="7254"/>
              </w:tabs>
              <w:spacing w:before="60" w:after="60"/>
              <w:jc w:val="left"/>
              <w:rPr>
                <w:szCs w:val="24"/>
                <w:lang w:val="en-GB"/>
              </w:rPr>
            </w:pPr>
            <w:r w:rsidRPr="003D1390">
              <w:rPr>
                <w:szCs w:val="24"/>
                <w:lang w:val="en-GB"/>
              </w:rPr>
              <w:t>Criteria for covering the minimum requirements of Section ІІ:</w:t>
            </w:r>
          </w:p>
        </w:tc>
      </w:tr>
      <w:tr w:rsidR="0053157B" w:rsidRPr="00DE537F" w14:paraId="774605CE" w14:textId="77777777" w:rsidTr="00C82C3E">
        <w:trPr>
          <w:trHeight w:val="4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B769" w14:textId="77777777" w:rsidR="0053157B" w:rsidRPr="003D1390" w:rsidRDefault="0053157B" w:rsidP="0053157B">
            <w:pPr>
              <w:tabs>
                <w:tab w:val="left" w:pos="318"/>
              </w:tabs>
              <w:contextualSpacing/>
              <w:rPr>
                <w:szCs w:val="24"/>
                <w:lang w:val="en-GB" w:eastAsia="ru-RU"/>
              </w:rPr>
            </w:pPr>
            <w:r w:rsidRPr="003D1390">
              <w:rPr>
                <w:szCs w:val="24"/>
                <w:lang w:val="en-GB" w:eastAsia="ru-RU"/>
              </w:rPr>
              <w:t>Bidder covers on its own all requirements.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FE1A" w14:textId="77777777" w:rsidR="0053157B" w:rsidRPr="003D1390" w:rsidRDefault="0053157B" w:rsidP="0053157B">
            <w:pPr>
              <w:tabs>
                <w:tab w:val="right" w:pos="7254"/>
              </w:tabs>
              <w:spacing w:before="60" w:after="60"/>
              <w:jc w:val="left"/>
              <w:rPr>
                <w:color w:val="0000FF"/>
                <w:szCs w:val="24"/>
                <w:lang w:val="en-GB"/>
              </w:rPr>
            </w:pPr>
            <w:r w:rsidRPr="003D1390">
              <w:rPr>
                <w:szCs w:val="24"/>
                <w:lang w:val="en-GB"/>
              </w:rPr>
              <w:t>YES</w:t>
            </w:r>
          </w:p>
        </w:tc>
      </w:tr>
      <w:tr w:rsidR="0053157B" w:rsidRPr="00DE537F" w14:paraId="35168BDB" w14:textId="77777777" w:rsidTr="00826685">
        <w:trPr>
          <w:trHeight w:val="14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9A22" w14:textId="77777777" w:rsidR="0053157B" w:rsidRDefault="0053157B" w:rsidP="00B4272C">
            <w:pPr>
              <w:rPr>
                <w:b/>
                <w:lang w:val="en-GB"/>
              </w:rPr>
            </w:pPr>
            <w:r w:rsidRPr="00DE537F">
              <w:rPr>
                <w:b/>
                <w:lang w:val="en-GB"/>
              </w:rPr>
              <w:t xml:space="preserve">Important: </w:t>
            </w:r>
          </w:p>
          <w:p w14:paraId="0513F4FA" w14:textId="77777777" w:rsidR="0053157B" w:rsidRPr="00DE537F" w:rsidRDefault="0053157B" w:rsidP="00B4272C">
            <w:pPr>
              <w:rPr>
                <w:b/>
                <w:lang w:val="en-GB"/>
              </w:rPr>
            </w:pPr>
            <w:r w:rsidRPr="00DE537F">
              <w:rPr>
                <w:b/>
                <w:lang w:val="en-GB"/>
              </w:rPr>
              <w:t xml:space="preserve">Bidders who are subcontractors to another bidder or have intention to establish such relations in the course of service performance are not admitted to tender procedure.  </w:t>
            </w:r>
          </w:p>
          <w:p w14:paraId="69A9E080" w14:textId="77777777" w:rsidR="0053157B" w:rsidRPr="00DE537F" w:rsidRDefault="0053157B" w:rsidP="00B4272C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en-GB" w:eastAsia="ru-RU"/>
              </w:rPr>
            </w:pPr>
            <w:r w:rsidRPr="00DE537F">
              <w:rPr>
                <w:b/>
                <w:lang w:val="en-GB"/>
              </w:rPr>
              <w:t xml:space="preserve">Above –mentioned conditions are specified at the </w:t>
            </w:r>
            <w:proofErr w:type="gramStart"/>
            <w:r w:rsidRPr="00DE537F">
              <w:rPr>
                <w:b/>
                <w:lang w:val="en-GB"/>
              </w:rPr>
              <w:t>offers</w:t>
            </w:r>
            <w:proofErr w:type="gramEnd"/>
            <w:r w:rsidRPr="00DE537F">
              <w:rPr>
                <w:b/>
                <w:lang w:val="en-GB"/>
              </w:rPr>
              <w:t xml:space="preserve"> evaluation stage and in the course of works performance.</w:t>
            </w:r>
          </w:p>
        </w:tc>
      </w:tr>
      <w:tr w:rsidR="0053157B" w:rsidRPr="00DE537F" w14:paraId="49BDC45B" w14:textId="77777777" w:rsidTr="0011433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25FA" w14:textId="77777777" w:rsidR="0053157B" w:rsidRPr="00DE537F" w:rsidRDefault="0053157B" w:rsidP="0053157B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III. Periods for the separate tender conduction stages.</w:t>
            </w:r>
          </w:p>
        </w:tc>
      </w:tr>
      <w:tr w:rsidR="0053157B" w:rsidRPr="00DE537F" w14:paraId="07345334" w14:textId="77777777" w:rsidTr="005760F1">
        <w:trPr>
          <w:trHeight w:val="5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BD6A" w14:textId="77777777" w:rsidR="0053157B" w:rsidRPr="00CE40DF" w:rsidRDefault="0053157B" w:rsidP="0053157B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en-GB"/>
              </w:rPr>
            </w:pPr>
            <w:r w:rsidRPr="00CE40DF">
              <w:rPr>
                <w:rFonts w:asciiTheme="majorBidi" w:hAnsiTheme="majorBidi" w:cstheme="majorBidi"/>
                <w:szCs w:val="24"/>
              </w:rPr>
              <w:t>3.1.</w:t>
            </w:r>
            <w:r w:rsidRPr="00CE40DF">
              <w:rPr>
                <w:rFonts w:asciiTheme="majorBidi" w:hAnsiTheme="majorBidi" w:cstheme="majorBidi"/>
                <w:szCs w:val="24"/>
              </w:rPr>
              <w:tab/>
            </w:r>
            <w:r w:rsidRPr="00CE40DF">
              <w:rPr>
                <w:szCs w:val="24"/>
                <w:bdr w:val="nil"/>
              </w:rPr>
              <w:t>Deadline to apply for participation</w:t>
            </w:r>
            <w:r w:rsidRPr="00CE40DF">
              <w:rPr>
                <w:rFonts w:asciiTheme="majorBidi" w:hAnsiTheme="majorBidi" w:cstheme="majorBidi"/>
                <w:iCs/>
                <w:szCs w:val="24"/>
                <w:lang w:val="en-GB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43A2" w14:textId="64F7C3C1" w:rsidR="0053157B" w:rsidRPr="00E52F31" w:rsidRDefault="000D65A0" w:rsidP="007B5202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  <w:lang w:val="bg-BG"/>
              </w:rPr>
              <w:t>26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en-GB"/>
              </w:rPr>
              <w:t>.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0</w:t>
            </w:r>
            <w:r w:rsidR="00E52F31" w:rsidRPr="00E52F31">
              <w:rPr>
                <w:rFonts w:asciiTheme="majorBidi" w:hAnsiTheme="majorBidi" w:cstheme="majorBidi"/>
                <w:iCs/>
                <w:szCs w:val="24"/>
              </w:rPr>
              <w:t>8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en-GB"/>
              </w:rPr>
              <w:t>.202</w:t>
            </w:r>
            <w:r w:rsidR="006A0AF9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</w:p>
        </w:tc>
      </w:tr>
      <w:tr w:rsidR="0053157B" w:rsidRPr="00DE537F" w14:paraId="246C4776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1F3" w14:textId="77777777" w:rsidR="0053157B" w:rsidRPr="00CE40DF" w:rsidRDefault="0053157B" w:rsidP="0053157B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en-GB"/>
              </w:rPr>
            </w:pPr>
            <w:r w:rsidRPr="00CE40DF">
              <w:rPr>
                <w:rFonts w:asciiTheme="majorBidi" w:hAnsiTheme="majorBidi" w:cstheme="majorBidi"/>
                <w:szCs w:val="24"/>
              </w:rPr>
              <w:t>3.2.</w:t>
            </w:r>
            <w:r w:rsidRPr="00CE40DF">
              <w:rPr>
                <w:rFonts w:asciiTheme="majorBidi" w:hAnsiTheme="majorBidi" w:cstheme="majorBidi"/>
                <w:szCs w:val="24"/>
              </w:rPr>
              <w:tab/>
            </w:r>
            <w:r w:rsidRPr="00CE40DF">
              <w:rPr>
                <w:rFonts w:asciiTheme="majorBidi" w:hAnsiTheme="majorBidi" w:cstheme="majorBidi"/>
                <w:szCs w:val="24"/>
                <w:lang w:val="en-GB"/>
              </w:rPr>
              <w:t>Deadline for Request for Clarifications by Bidder (Form 11).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318" w14:textId="5A52D825" w:rsidR="0053157B" w:rsidRPr="00E52F31" w:rsidRDefault="005D61B6" w:rsidP="007B5202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</w:rPr>
              <w:t>2</w:t>
            </w:r>
            <w:r w:rsidR="000D65A0">
              <w:rPr>
                <w:rFonts w:asciiTheme="majorBidi" w:hAnsiTheme="majorBidi" w:cstheme="majorBidi"/>
                <w:iCs/>
                <w:szCs w:val="24"/>
                <w:lang w:val="bg-BG"/>
              </w:rPr>
              <w:t>9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en-GB"/>
              </w:rPr>
              <w:t>.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0</w:t>
            </w:r>
            <w:r w:rsidR="00E52F31" w:rsidRPr="00E52F31">
              <w:rPr>
                <w:rFonts w:asciiTheme="majorBidi" w:hAnsiTheme="majorBidi" w:cstheme="majorBidi"/>
                <w:iCs/>
                <w:szCs w:val="24"/>
              </w:rPr>
              <w:t>8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en-GB"/>
              </w:rPr>
              <w:t>.202</w:t>
            </w:r>
            <w:r w:rsidR="006A0AF9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</w:p>
        </w:tc>
      </w:tr>
      <w:tr w:rsidR="0053157B" w:rsidRPr="00DE537F" w14:paraId="1E469DB8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83D" w14:textId="77777777" w:rsidR="0053157B" w:rsidRPr="00FF1E6A" w:rsidRDefault="0053157B" w:rsidP="0053157B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CE40DF">
              <w:rPr>
                <w:rFonts w:asciiTheme="majorBidi" w:hAnsiTheme="majorBidi" w:cstheme="majorBidi"/>
                <w:szCs w:val="24"/>
              </w:rPr>
              <w:t>3.3.</w:t>
            </w:r>
            <w:r w:rsidRPr="00CE40DF">
              <w:rPr>
                <w:rFonts w:asciiTheme="majorBidi" w:hAnsiTheme="majorBidi" w:cstheme="majorBidi"/>
                <w:szCs w:val="24"/>
              </w:rPr>
              <w:tab/>
            </w:r>
            <w:r w:rsidRPr="00CE40DF">
              <w:rPr>
                <w:rFonts w:asciiTheme="majorBidi" w:hAnsiTheme="majorBidi" w:cstheme="majorBidi"/>
                <w:szCs w:val="24"/>
                <w:lang w:val="en-GB"/>
              </w:rPr>
              <w:t>Deadline for receipt of proposals.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4C36" w14:textId="0930E3E4" w:rsidR="0053157B" w:rsidRPr="00E52F31" w:rsidRDefault="005D61B6" w:rsidP="007B5202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</w:rPr>
              <w:t>0</w:t>
            </w:r>
            <w:r w:rsidR="000D65A0">
              <w:rPr>
                <w:rFonts w:asciiTheme="majorBidi" w:hAnsiTheme="majorBidi" w:cstheme="majorBidi"/>
                <w:iCs/>
                <w:szCs w:val="24"/>
                <w:lang w:val="bg-BG"/>
              </w:rPr>
              <w:t>9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en-GB"/>
              </w:rPr>
              <w:t>.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0</w:t>
            </w:r>
            <w:r>
              <w:rPr>
                <w:rFonts w:asciiTheme="majorBidi" w:hAnsiTheme="majorBidi" w:cstheme="majorBidi"/>
                <w:iCs/>
                <w:szCs w:val="24"/>
              </w:rPr>
              <w:t>9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en-GB"/>
              </w:rPr>
              <w:t>.202</w:t>
            </w:r>
            <w:r w:rsidR="006A0AF9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</w:p>
        </w:tc>
      </w:tr>
      <w:tr w:rsidR="0053157B" w:rsidRPr="00DE537F" w14:paraId="6B3062E2" w14:textId="77777777" w:rsidTr="00C82C3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71D" w14:textId="77777777" w:rsidR="0053157B" w:rsidRPr="00CE40DF" w:rsidRDefault="0053157B" w:rsidP="0053157B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</w:rPr>
            </w:pPr>
            <w:r w:rsidRPr="00CE40DF">
              <w:rPr>
                <w:rFonts w:asciiTheme="majorBidi" w:hAnsiTheme="majorBidi" w:cstheme="majorBidi"/>
                <w:szCs w:val="24"/>
                <w:lang w:val="bg-BG"/>
              </w:rPr>
              <w:t xml:space="preserve">3.4. </w:t>
            </w:r>
            <w:r w:rsidRPr="00CE40DF">
              <w:rPr>
                <w:rFonts w:asciiTheme="majorBidi" w:hAnsiTheme="majorBidi" w:cstheme="majorBidi"/>
              </w:rPr>
              <w:t>Providing a password to open the proposal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C102" w14:textId="38D42315" w:rsidR="0053157B" w:rsidRPr="00E52F31" w:rsidRDefault="000D65A0" w:rsidP="007B5202">
            <w:pPr>
              <w:spacing w:before="60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  <w:lang w:val="bg-BG"/>
              </w:rPr>
              <w:t>1</w:t>
            </w:r>
            <w:r w:rsidR="005D61B6">
              <w:rPr>
                <w:rFonts w:asciiTheme="majorBidi" w:hAnsiTheme="majorBidi" w:cstheme="majorBidi"/>
                <w:iCs/>
                <w:szCs w:val="24"/>
              </w:rPr>
              <w:t>0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.0</w:t>
            </w:r>
            <w:r w:rsidR="005D61B6">
              <w:rPr>
                <w:rFonts w:asciiTheme="majorBidi" w:hAnsiTheme="majorBidi" w:cstheme="majorBidi"/>
                <w:iCs/>
                <w:szCs w:val="24"/>
              </w:rPr>
              <w:t>9</w:t>
            </w:r>
            <w:r w:rsidR="0053157B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.202</w:t>
            </w:r>
            <w:r w:rsidR="006A0AF9" w:rsidRPr="00E52F31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</w:p>
        </w:tc>
      </w:tr>
      <w:tr w:rsidR="0053157B" w:rsidRPr="00DE537F" w14:paraId="6DC66CF6" w14:textId="77777777" w:rsidTr="0011433B">
        <w:tblPrEx>
          <w:tblBorders>
            <w:insideH w:val="single" w:sz="8" w:space="0" w:color="000000"/>
          </w:tblBorders>
        </w:tblPrEx>
        <w:trPr>
          <w:trHeight w:val="4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D5D" w14:textId="77777777" w:rsidR="0053157B" w:rsidRPr="00DE537F" w:rsidRDefault="0053157B" w:rsidP="0053157B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IV. Address and contact information.</w:t>
            </w:r>
          </w:p>
        </w:tc>
      </w:tr>
      <w:tr w:rsidR="0053157B" w:rsidRPr="00DE537F" w14:paraId="091D64C9" w14:textId="77777777" w:rsidTr="00C82C3E">
        <w:tblPrEx>
          <w:tblBorders>
            <w:insideH w:val="single" w:sz="8" w:space="0" w:color="000000"/>
          </w:tblBorders>
        </w:tblPrEx>
        <w:trPr>
          <w:trHeight w:val="2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3F2" w14:textId="77777777" w:rsidR="0053157B" w:rsidRPr="00CE40DF" w:rsidRDefault="0053157B" w:rsidP="0053157B">
            <w:pPr>
              <w:pStyle w:val="a9"/>
              <w:tabs>
                <w:tab w:val="left" w:pos="460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CE40DF">
              <w:rPr>
                <w:rFonts w:asciiTheme="majorBidi" w:hAnsiTheme="majorBidi" w:cstheme="majorBidi"/>
                <w:lang w:val="en-GB" w:eastAsia="en-US"/>
              </w:rPr>
              <w:t>4.1.</w:t>
            </w:r>
            <w:r w:rsidRPr="00CE40DF">
              <w:rPr>
                <w:rFonts w:asciiTheme="majorBidi" w:hAnsiTheme="majorBidi" w:cstheme="majorBidi"/>
                <w:lang w:val="en-GB" w:eastAsia="en-US"/>
              </w:rPr>
              <w:tab/>
              <w:t>E-mail</w:t>
            </w:r>
            <w:r w:rsidRPr="00CE40DF">
              <w:rPr>
                <w:rFonts w:asciiTheme="majorBidi" w:hAnsiTheme="majorBidi" w:cstheme="majorBidi"/>
                <w:lang w:val="bg-BG" w:eastAsia="en-US"/>
              </w:rPr>
              <w:t xml:space="preserve"> </w:t>
            </w:r>
            <w:r w:rsidRPr="00CE40DF">
              <w:rPr>
                <w:rFonts w:asciiTheme="majorBidi" w:hAnsiTheme="majorBidi" w:cstheme="majorBidi"/>
                <w:lang w:val="en-US" w:eastAsia="en-US"/>
              </w:rPr>
              <w:t>address for correspondence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316A" w14:textId="77777777" w:rsidR="0053157B" w:rsidRPr="00CE40DF" w:rsidRDefault="000D65A0" w:rsidP="0053157B">
            <w:pPr>
              <w:spacing w:before="60"/>
              <w:rPr>
                <w:rFonts w:asciiTheme="majorBidi" w:hAnsiTheme="majorBidi" w:cstheme="majorBidi"/>
                <w:szCs w:val="24"/>
                <w:u w:val="single"/>
                <w:lang w:val="en-GB"/>
              </w:rPr>
            </w:pPr>
            <w:hyperlink r:id="rId8" w:history="1">
              <w:r w:rsidR="0053157B" w:rsidRPr="00CE40DF">
                <w:rPr>
                  <w:rStyle w:val="a8"/>
                </w:rPr>
                <w:t>Andonov</w:t>
              </w:r>
              <w:r w:rsidR="0053157B" w:rsidRPr="00CE40DF">
                <w:rPr>
                  <w:rStyle w:val="a8"/>
                  <w:lang w:val="en-GB"/>
                </w:rPr>
                <w:t>.</w:t>
              </w:r>
              <w:r w:rsidR="0053157B" w:rsidRPr="00CE40DF">
                <w:rPr>
                  <w:rStyle w:val="a8"/>
                </w:rPr>
                <w:t>Antoni</w:t>
              </w:r>
              <w:r w:rsidR="0053157B" w:rsidRPr="00CE40DF">
                <w:rPr>
                  <w:rStyle w:val="a8"/>
                  <w:lang w:val="en-GB"/>
                </w:rPr>
                <w:t>.</w:t>
              </w:r>
              <w:r w:rsidR="0053157B" w:rsidRPr="00CE40DF">
                <w:rPr>
                  <w:rStyle w:val="a8"/>
                </w:rPr>
                <w:t>G</w:t>
              </w:r>
              <w:r w:rsidR="0053157B" w:rsidRPr="00CE40DF">
                <w:rPr>
                  <w:rStyle w:val="a8"/>
                  <w:lang w:val="en-GB"/>
                </w:rPr>
                <w:t>@</w:t>
              </w:r>
              <w:r w:rsidR="0053157B" w:rsidRPr="00CE40DF">
                <w:rPr>
                  <w:rStyle w:val="a8"/>
                </w:rPr>
                <w:t>neftochim</w:t>
              </w:r>
              <w:r w:rsidR="0053157B" w:rsidRPr="00CE40DF">
                <w:rPr>
                  <w:rStyle w:val="a8"/>
                  <w:lang w:val="en-GB"/>
                </w:rPr>
                <w:t>.</w:t>
              </w:r>
              <w:r w:rsidR="0053157B" w:rsidRPr="00CE40DF">
                <w:rPr>
                  <w:rStyle w:val="a8"/>
                </w:rPr>
                <w:t>bg</w:t>
              </w:r>
            </w:hyperlink>
          </w:p>
        </w:tc>
      </w:tr>
      <w:tr w:rsidR="0053157B" w:rsidRPr="00DE537F" w14:paraId="4C993E1C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2C1D" w14:textId="77777777" w:rsidR="0053157B" w:rsidRPr="00DE537F" w:rsidRDefault="0053157B" w:rsidP="0053157B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V. Proposal preparation.</w:t>
            </w:r>
          </w:p>
        </w:tc>
      </w:tr>
      <w:tr w:rsidR="0053157B" w:rsidRPr="00DE537F" w14:paraId="6F1FEE0E" w14:textId="77777777" w:rsidTr="00C82C3E">
        <w:tblPrEx>
          <w:tblBorders>
            <w:insideH w:val="single" w:sz="8" w:space="0" w:color="000000"/>
          </w:tblBorders>
        </w:tblPrEx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F64" w14:textId="77777777" w:rsidR="0053157B" w:rsidRPr="00DE537F" w:rsidRDefault="0053157B" w:rsidP="0053157B">
            <w:pPr>
              <w:tabs>
                <w:tab w:val="left" w:pos="460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szCs w:val="24"/>
                <w:lang w:val="en-GB"/>
              </w:rPr>
              <w:t>5.1.</w:t>
            </w:r>
            <w:r w:rsidRPr="00DE537F">
              <w:rPr>
                <w:rFonts w:asciiTheme="majorBidi" w:hAnsiTheme="majorBidi" w:cstheme="majorBidi"/>
                <w:szCs w:val="24"/>
                <w:lang w:val="en-GB"/>
              </w:rPr>
              <w:tab/>
              <w:t>Proposal and correspondence language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B34B" w14:textId="77777777" w:rsidR="0053157B" w:rsidRPr="00DE537F" w:rsidRDefault="0053157B" w:rsidP="0053157B">
            <w:pPr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szCs w:val="24"/>
                <w:lang w:val="en-GB" w:eastAsia="ru-RU"/>
              </w:rPr>
              <w:t>Bulgarian language and/or English language</w:t>
            </w:r>
          </w:p>
        </w:tc>
      </w:tr>
      <w:tr w:rsidR="0053157B" w:rsidRPr="00DE537F" w14:paraId="2D19BC03" w14:textId="77777777" w:rsidTr="00C82C3E">
        <w:tblPrEx>
          <w:tblBorders>
            <w:insideH w:val="single" w:sz="8" w:space="0" w:color="000000"/>
          </w:tblBorders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7690" w14:textId="77777777" w:rsidR="0053157B" w:rsidRPr="00DE537F" w:rsidRDefault="0053157B" w:rsidP="0053157B">
            <w:pPr>
              <w:pStyle w:val="a9"/>
              <w:numPr>
                <w:ilvl w:val="1"/>
                <w:numId w:val="3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ab/>
              <w:t>Currency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51D9" w14:textId="77777777" w:rsidR="0053157B" w:rsidRPr="00DE537F" w:rsidRDefault="0053157B" w:rsidP="0053157B">
            <w:pPr>
              <w:spacing w:before="60" w:after="60"/>
              <w:rPr>
                <w:rFonts w:asciiTheme="majorBidi" w:hAnsiTheme="majorBidi" w:cstheme="majorBidi"/>
                <w:szCs w:val="24"/>
                <w:lang w:val="en-GB" w:eastAsia="ru-RU"/>
              </w:rPr>
            </w:pPr>
            <w:r w:rsidRPr="00DE537F">
              <w:rPr>
                <w:rFonts w:asciiTheme="majorBidi" w:hAnsiTheme="majorBidi" w:cstheme="majorBidi"/>
                <w:b/>
                <w:bCs/>
                <w:szCs w:val="24"/>
                <w:lang w:val="en-GB" w:eastAsia="ru-RU" w:bidi="en-US"/>
              </w:rPr>
              <w:t>EUR</w:t>
            </w:r>
          </w:p>
        </w:tc>
      </w:tr>
      <w:tr w:rsidR="0053157B" w:rsidRPr="00DE537F" w14:paraId="1C431B95" w14:textId="77777777" w:rsidTr="00C82C3E">
        <w:tblPrEx>
          <w:tblBorders>
            <w:insideH w:val="single" w:sz="8" w:space="0" w:color="000000"/>
          </w:tblBorders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22F" w14:textId="77777777" w:rsidR="0053157B" w:rsidRPr="00DE537F" w:rsidRDefault="0053157B" w:rsidP="0053157B">
            <w:pPr>
              <w:pStyle w:val="a9"/>
              <w:numPr>
                <w:ilvl w:val="1"/>
                <w:numId w:val="3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ab/>
              <w:t>Proposal validity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FC6" w14:textId="77777777" w:rsidR="0053157B" w:rsidRPr="00DE537F" w:rsidRDefault="0053157B" w:rsidP="0053157B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szCs w:val="24"/>
                <w:lang w:val="en-GB"/>
              </w:rPr>
              <w:t xml:space="preserve">Proposal validity period is at least 90 </w:t>
            </w:r>
            <w:r>
              <w:rPr>
                <w:rFonts w:asciiTheme="majorBidi" w:hAnsiTheme="majorBidi" w:cstheme="majorBidi"/>
                <w:szCs w:val="24"/>
                <w:lang w:val="bg-BG"/>
              </w:rPr>
              <w:t>(</w:t>
            </w:r>
            <w:r>
              <w:rPr>
                <w:rFonts w:asciiTheme="majorBidi" w:hAnsiTheme="majorBidi" w:cstheme="majorBidi"/>
                <w:szCs w:val="24"/>
              </w:rPr>
              <w:t>ninety</w:t>
            </w:r>
            <w:r>
              <w:rPr>
                <w:rFonts w:asciiTheme="majorBidi" w:hAnsiTheme="majorBidi" w:cstheme="majorBidi"/>
                <w:szCs w:val="24"/>
                <w:lang w:val="bg-BG"/>
              </w:rPr>
              <w:t>)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DE537F">
              <w:rPr>
                <w:rFonts w:asciiTheme="majorBidi" w:hAnsiTheme="majorBidi" w:cstheme="majorBidi"/>
                <w:szCs w:val="24"/>
                <w:lang w:val="en-GB"/>
              </w:rPr>
              <w:t>calendar days as of the final proposal receipt period.</w:t>
            </w:r>
          </w:p>
        </w:tc>
      </w:tr>
      <w:tr w:rsidR="0053157B" w:rsidRPr="00DE537F" w14:paraId="0F3B33CC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600" w14:textId="77777777" w:rsidR="0053157B" w:rsidRPr="00DE537F" w:rsidRDefault="0053157B" w:rsidP="0053157B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VI. Tender proposal acceptance and opening.</w:t>
            </w:r>
          </w:p>
        </w:tc>
      </w:tr>
      <w:tr w:rsidR="0053157B" w:rsidRPr="00DE537F" w14:paraId="4E115FED" w14:textId="77777777" w:rsidTr="00C82C3E">
        <w:tblPrEx>
          <w:tblBorders>
            <w:insideH w:val="single" w:sz="8" w:space="0" w:color="000000"/>
          </w:tblBorders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CBC2" w14:textId="77777777" w:rsidR="0053157B" w:rsidRPr="00CE40DF" w:rsidRDefault="0053157B" w:rsidP="0053157B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CE40DF">
              <w:rPr>
                <w:rFonts w:asciiTheme="majorBidi" w:hAnsiTheme="majorBidi" w:cstheme="majorBidi"/>
                <w:lang w:val="en-GB"/>
              </w:rPr>
              <w:t>6.1.</w:t>
            </w:r>
            <w:r w:rsidRPr="00CE40DF">
              <w:rPr>
                <w:rFonts w:asciiTheme="majorBidi" w:hAnsiTheme="majorBidi" w:cstheme="majorBidi"/>
                <w:lang w:val="en-GB"/>
              </w:rPr>
              <w:tab/>
              <w:t>Proposal submission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997" w14:textId="77777777" w:rsidR="0053157B" w:rsidRPr="00CE40DF" w:rsidRDefault="0053157B" w:rsidP="0053157B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en-GB"/>
              </w:rPr>
            </w:pPr>
            <w:r w:rsidRPr="00CE40DF">
              <w:rPr>
                <w:rFonts w:asciiTheme="majorBidi" w:hAnsiTheme="majorBidi" w:cstheme="majorBidi"/>
                <w:szCs w:val="24"/>
                <w:lang w:val="en-GB"/>
              </w:rPr>
              <w:t>Proposals shall be submitted/ accepted through the External File Services portal provided by the Tender Organizer</w:t>
            </w:r>
            <w:r w:rsidRPr="00CE40DF">
              <w:rPr>
                <w:rFonts w:asciiTheme="majorBidi" w:hAnsiTheme="majorBidi" w:cstheme="majorBidi"/>
                <w:szCs w:val="24"/>
                <w:u w:val="single"/>
                <w:lang w:val="en-GB"/>
              </w:rPr>
              <w:t>.</w:t>
            </w:r>
          </w:p>
        </w:tc>
      </w:tr>
      <w:tr w:rsidR="0053157B" w:rsidRPr="00DE537F" w14:paraId="2998F41B" w14:textId="77777777" w:rsidTr="00C82C3E">
        <w:tblPrEx>
          <w:tblBorders>
            <w:insideH w:val="single" w:sz="8" w:space="0" w:color="000000"/>
          </w:tblBorders>
        </w:tblPrEx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D82C" w14:textId="77777777" w:rsidR="0053157B" w:rsidRPr="00DE537F" w:rsidRDefault="0053157B" w:rsidP="0053157B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>6.2. Participation of Bidders in the opening of the proposals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7FE" w14:textId="77777777" w:rsidR="0053157B" w:rsidRPr="00925564" w:rsidRDefault="0053157B" w:rsidP="0053157B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szCs w:val="24"/>
              </w:rPr>
              <w:t>No</w:t>
            </w:r>
          </w:p>
        </w:tc>
      </w:tr>
      <w:tr w:rsidR="0053157B" w:rsidRPr="00DE537F" w14:paraId="10F31477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90" w14:textId="77777777" w:rsidR="0053157B" w:rsidRPr="00DE537F" w:rsidRDefault="0053157B" w:rsidP="0053157B">
            <w:pPr>
              <w:keepNext/>
              <w:keepLines/>
              <w:tabs>
                <w:tab w:val="right" w:pos="7434"/>
              </w:tabs>
              <w:spacing w:before="60" w:after="40"/>
              <w:jc w:val="center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lastRenderedPageBreak/>
              <w:t>VII. Proposal structure.</w:t>
            </w:r>
          </w:p>
        </w:tc>
      </w:tr>
      <w:tr w:rsidR="0053157B" w:rsidRPr="00DE537F" w14:paraId="30D6ED5B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F4A" w14:textId="77777777" w:rsidR="0053157B" w:rsidRPr="00DE537F" w:rsidRDefault="0053157B" w:rsidP="0053157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right="127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Technical part:</w:t>
            </w:r>
          </w:p>
        </w:tc>
      </w:tr>
      <w:tr w:rsidR="0053157B" w:rsidRPr="00DE537F" w14:paraId="372F556C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CDF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 xml:space="preserve">List of </w:t>
            </w:r>
            <w:r>
              <w:rPr>
                <w:rFonts w:asciiTheme="majorBidi" w:hAnsiTheme="majorBidi" w:cstheme="majorBidi"/>
                <w:lang w:val="en-GB"/>
              </w:rPr>
              <w:t xml:space="preserve">the documents in </w:t>
            </w:r>
            <w:proofErr w:type="gramStart"/>
            <w:r>
              <w:rPr>
                <w:rFonts w:asciiTheme="majorBidi" w:hAnsiTheme="majorBidi" w:cstheme="majorBidi"/>
                <w:lang w:val="en-GB"/>
              </w:rPr>
              <w:t>Technical</w:t>
            </w:r>
            <w:proofErr w:type="gramEnd"/>
            <w:r>
              <w:rPr>
                <w:rFonts w:asciiTheme="majorBidi" w:hAnsiTheme="majorBidi" w:cstheme="majorBidi"/>
                <w:lang w:val="en-GB"/>
              </w:rPr>
              <w:t xml:space="preserve"> part;</w:t>
            </w:r>
            <w:r w:rsidRPr="00DD123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</w:t>
            </w:r>
            <w:r w:rsidRPr="00DD1238">
              <w:rPr>
                <w:rFonts w:asciiTheme="majorBidi" w:hAnsiTheme="majorBidi" w:cstheme="majorBidi"/>
                <w:b/>
                <w:lang w:val="bg-BG"/>
              </w:rPr>
              <w:t xml:space="preserve"> 9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.</w:t>
            </w:r>
          </w:p>
        </w:tc>
      </w:tr>
      <w:tr w:rsidR="0053157B" w:rsidRPr="00DE537F" w14:paraId="7419355E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4FB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>Qualification requirements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DD123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1</w:t>
            </w:r>
            <w:r w:rsidRPr="00DD123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DD1238" w14:paraId="44105842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C3B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 xml:space="preserve">Tender proposal (cover letter to the tender proposal);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2</w:t>
            </w:r>
            <w:r w:rsidRPr="00DD123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DD1238" w14:paraId="7C9D40D8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7FD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>Technical proposal</w:t>
            </w:r>
            <w:r w:rsidRPr="00DD1238">
              <w:rPr>
                <w:rFonts w:asciiTheme="majorBidi" w:hAnsiTheme="majorBidi" w:cstheme="majorBidi"/>
                <w:lang w:val="bg-BG"/>
              </w:rPr>
              <w:t>;</w:t>
            </w:r>
            <w:r w:rsidRPr="00DD1238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3.</w:t>
            </w:r>
          </w:p>
        </w:tc>
      </w:tr>
      <w:tr w:rsidR="0053157B" w:rsidRPr="00DE537F" w14:paraId="659226B6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9CD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420" w:right="252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 xml:space="preserve">Schedule of deliveries/ Provision of services;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5</w:t>
            </w:r>
            <w:r w:rsidRPr="00DD123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DE537F" w14:paraId="6F182B8F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FAC5" w14:textId="77777777" w:rsidR="0053157B" w:rsidRPr="00DE537F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 xml:space="preserve">Bid Bond – </w:t>
            </w:r>
            <w:r w:rsidRPr="00DE537F">
              <w:rPr>
                <w:rFonts w:asciiTheme="majorBidi" w:hAnsiTheme="majorBidi" w:cstheme="majorBidi"/>
                <w:b/>
                <w:i/>
                <w:lang w:val="en-GB"/>
              </w:rPr>
              <w:t>not required for this tender</w:t>
            </w:r>
            <w:r w:rsidRPr="00DE537F">
              <w:rPr>
                <w:rFonts w:asciiTheme="majorBidi" w:hAnsiTheme="majorBidi" w:cstheme="majorBidi"/>
                <w:i/>
                <w:lang w:val="en-GB"/>
              </w:rPr>
              <w:t>.</w:t>
            </w:r>
          </w:p>
        </w:tc>
      </w:tr>
      <w:tr w:rsidR="0053157B" w:rsidRPr="00DE537F" w14:paraId="3770DC0F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FE8B" w14:textId="77777777" w:rsidR="0053157B" w:rsidRPr="00DE537F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 xml:space="preserve">Guarantee from the Head Office </w:t>
            </w:r>
            <w:r w:rsidRPr="00DE537F">
              <w:rPr>
                <w:rFonts w:asciiTheme="majorBidi" w:hAnsiTheme="majorBidi" w:cstheme="majorBidi"/>
                <w:b/>
                <w:lang w:val="en-GB"/>
              </w:rPr>
              <w:t>–</w:t>
            </w:r>
            <w:r w:rsidRPr="00DE537F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E537F">
              <w:rPr>
                <w:rFonts w:asciiTheme="majorBidi" w:hAnsiTheme="majorBidi" w:cstheme="majorBidi"/>
                <w:b/>
                <w:i/>
                <w:lang w:val="en-GB"/>
              </w:rPr>
              <w:t>not required for this tender</w:t>
            </w:r>
            <w:r w:rsidRPr="00DE537F">
              <w:rPr>
                <w:rFonts w:asciiTheme="majorBidi" w:hAnsiTheme="majorBidi" w:cstheme="majorBidi"/>
                <w:i/>
                <w:lang w:val="en-GB"/>
              </w:rPr>
              <w:t>.</w:t>
            </w:r>
          </w:p>
        </w:tc>
      </w:tr>
      <w:tr w:rsidR="0053157B" w:rsidRPr="00DE537F" w14:paraId="2AF3DDD3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02D0" w14:textId="77777777" w:rsidR="0053157B" w:rsidRPr="00DE537F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 xml:space="preserve">Questionnaire to a business partner </w:t>
            </w:r>
            <w:r w:rsidRPr="00DE537F">
              <w:rPr>
                <w:rFonts w:asciiTheme="majorBidi" w:hAnsiTheme="majorBidi" w:cstheme="majorBidi"/>
                <w:b/>
                <w:lang w:val="en-GB"/>
              </w:rPr>
              <w:t xml:space="preserve">– </w:t>
            </w:r>
            <w:r w:rsidRPr="00DE537F">
              <w:rPr>
                <w:rFonts w:asciiTheme="majorBidi" w:hAnsiTheme="majorBidi" w:cstheme="majorBidi"/>
                <w:b/>
                <w:i/>
                <w:lang w:val="en-GB"/>
              </w:rPr>
              <w:t>not required for this tender</w:t>
            </w:r>
            <w:r w:rsidRPr="00DE537F">
              <w:rPr>
                <w:rFonts w:asciiTheme="majorBidi" w:hAnsiTheme="majorBidi" w:cstheme="majorBidi"/>
                <w:i/>
                <w:lang w:val="en-GB"/>
              </w:rPr>
              <w:t>.</w:t>
            </w:r>
          </w:p>
        </w:tc>
      </w:tr>
      <w:tr w:rsidR="0053157B" w:rsidRPr="00DE537F" w14:paraId="380CAF3A" w14:textId="77777777" w:rsidTr="0011433B">
        <w:tblPrEx>
          <w:tblBorders>
            <w:insideH w:val="single" w:sz="8" w:space="0" w:color="000000"/>
          </w:tblBorders>
        </w:tblPrEx>
        <w:trPr>
          <w:trHeight w:val="55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FA8" w14:textId="77777777" w:rsidR="0053157B" w:rsidRPr="00DE537F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US"/>
              </w:rPr>
              <w:t>Documents confirming the relationship between Bidder and its subcontractors (formal documents on the relationship with a subcontractor/s for the particular tender</w:t>
            </w:r>
            <w:r w:rsidRPr="00786E8E">
              <w:rPr>
                <w:rFonts w:asciiTheme="majorBidi" w:hAnsiTheme="majorBidi" w:cstheme="majorBidi"/>
                <w:lang w:val="bg-BG"/>
              </w:rPr>
              <w:t>)</w:t>
            </w:r>
            <w:r>
              <w:rPr>
                <w:rFonts w:asciiTheme="majorBidi" w:hAnsiTheme="majorBidi" w:cstheme="majorBidi"/>
                <w:lang w:val="en-US"/>
              </w:rPr>
              <w:t xml:space="preserve"> involved in the performance of the works / provision of services / deliveries which are subject of the tender, including copies of licenses, certificates and other permit documents of the subcontractors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 </w:t>
            </w:r>
            <w:r w:rsidRPr="006452F9">
              <w:rPr>
                <w:rFonts w:asciiTheme="majorBidi" w:hAnsiTheme="majorBidi" w:cstheme="majorBidi"/>
                <w:lang w:val="en-US"/>
              </w:rPr>
              <w:t xml:space="preserve">– </w:t>
            </w:r>
            <w:r w:rsidRPr="000A59A0">
              <w:rPr>
                <w:rFonts w:asciiTheme="majorBidi" w:hAnsiTheme="majorBidi" w:cstheme="majorBidi"/>
                <w:b/>
                <w:i/>
                <w:lang w:val="en-US"/>
              </w:rPr>
              <w:t>not required for this tender</w:t>
            </w:r>
            <w:r w:rsidRPr="00C91580">
              <w:rPr>
                <w:rFonts w:asciiTheme="majorBidi" w:hAnsiTheme="majorBidi" w:cstheme="majorBidi"/>
                <w:i/>
                <w:lang w:val="en-US"/>
              </w:rPr>
              <w:t>.</w:t>
            </w:r>
          </w:p>
        </w:tc>
      </w:tr>
      <w:tr w:rsidR="0053157B" w:rsidRPr="00DD1238" w14:paraId="1217E2CE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CD3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ind w:left="431" w:right="249" w:hanging="357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 xml:space="preserve">Copies of licenses, certificates and permits required for the deliveries of goods which are subject of the tender,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1.</w:t>
            </w:r>
          </w:p>
        </w:tc>
      </w:tr>
      <w:tr w:rsidR="0053157B" w:rsidRPr="00DE537F" w14:paraId="68F66AEB" w14:textId="77777777" w:rsidTr="00003D39">
        <w:tblPrEx>
          <w:tblBorders>
            <w:insideH w:val="single" w:sz="8" w:space="0" w:color="000000"/>
          </w:tblBorders>
        </w:tblPrEx>
        <w:trPr>
          <w:trHeight w:val="108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EBF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>An original Power of Attorney issued to the person which has signed Title Page (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6</w:t>
            </w:r>
            <w:r w:rsidRPr="00DD1238">
              <w:rPr>
                <w:rFonts w:asciiTheme="majorBidi" w:hAnsiTheme="majorBidi" w:cstheme="majorBidi"/>
                <w:lang w:val="en-GB"/>
              </w:rPr>
              <w:t xml:space="preserve">), </w:t>
            </w:r>
            <w:r w:rsidRPr="00340038">
              <w:rPr>
                <w:rFonts w:asciiTheme="majorBidi" w:hAnsiTheme="majorBidi" w:cstheme="majorBidi"/>
                <w:lang w:val="en-GB"/>
              </w:rPr>
              <w:t>and permitting such person (in</w:t>
            </w:r>
            <w:r w:rsidRPr="00DD1238">
              <w:rPr>
                <w:rFonts w:asciiTheme="majorBidi" w:hAnsiTheme="majorBidi" w:cstheme="majorBidi"/>
                <w:lang w:val="en-GB"/>
              </w:rPr>
              <w:t xml:space="preserve"> cases when it is not company’s manager) to undertake obligations on behalf of Bidder.</w:t>
            </w:r>
          </w:p>
        </w:tc>
      </w:tr>
      <w:tr w:rsidR="0053157B" w:rsidRPr="00DD1238" w14:paraId="0D082B0C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8CA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US"/>
              </w:rPr>
              <w:t>A c</w:t>
            </w:r>
            <w:r w:rsidRPr="00DD1238">
              <w:rPr>
                <w:rFonts w:asciiTheme="majorBidi" w:hAnsiTheme="majorBidi" w:cstheme="majorBidi"/>
                <w:lang w:val="en-GB"/>
              </w:rPr>
              <w:t xml:space="preserve">ertificate of legal existence of the bidding company,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1</w:t>
            </w:r>
            <w:r w:rsidRPr="00DD123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DE537F" w14:paraId="6EBE860D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20C9" w14:textId="77777777" w:rsidR="0053157B" w:rsidRPr="00DE537F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E537F">
              <w:rPr>
                <w:rFonts w:asciiTheme="majorBidi" w:hAnsiTheme="majorBidi" w:cstheme="majorBidi"/>
                <w:lang w:val="en-GB"/>
              </w:rPr>
              <w:t>A copy of the financial statements for the last 3 (three) years certified by Bidder, balance sheet, revenue and cost statement, cash flow statement, audit statement and breakdown of receivables and amount due</w:t>
            </w:r>
            <w:r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E537F">
              <w:rPr>
                <w:rFonts w:asciiTheme="majorBidi" w:hAnsiTheme="majorBidi" w:cstheme="majorBidi"/>
                <w:b/>
                <w:lang w:val="en-GB"/>
              </w:rPr>
              <w:t>–</w:t>
            </w:r>
            <w:r w:rsidRPr="00DE537F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DE537F">
              <w:rPr>
                <w:rFonts w:asciiTheme="majorBidi" w:hAnsiTheme="majorBidi" w:cstheme="majorBidi"/>
                <w:b/>
                <w:i/>
                <w:lang w:val="en-GB"/>
              </w:rPr>
              <w:t>not required for this tender</w:t>
            </w:r>
            <w:r w:rsidRPr="00DE537F">
              <w:rPr>
                <w:rFonts w:asciiTheme="majorBidi" w:hAnsiTheme="majorBidi" w:cstheme="majorBidi"/>
                <w:i/>
                <w:lang w:val="en-GB"/>
              </w:rPr>
              <w:t>.</w:t>
            </w:r>
          </w:p>
        </w:tc>
      </w:tr>
      <w:tr w:rsidR="0053157B" w:rsidRPr="00DD1238" w14:paraId="396F2B21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20F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 xml:space="preserve">A certificate by Registry Agency that Bidder has not been declared bankrupt and no bankruptcy proceedings have been opened against it,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1</w:t>
            </w:r>
            <w:r w:rsidRPr="00DD123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DE537F" w14:paraId="5182DE94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4DF" w14:textId="77777777" w:rsidR="0053157B" w:rsidRPr="00DD1238" w:rsidRDefault="0053157B" w:rsidP="0053157B">
            <w:pPr>
              <w:pStyle w:val="a9"/>
              <w:numPr>
                <w:ilvl w:val="0"/>
                <w:numId w:val="1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DD1238">
              <w:rPr>
                <w:rFonts w:asciiTheme="majorBidi" w:hAnsiTheme="majorBidi" w:cstheme="majorBidi"/>
                <w:lang w:val="en-GB"/>
              </w:rPr>
              <w:t xml:space="preserve">A certificate by Registry Agency that Bidder has not been declared to be in liquidation and that no liquidation proceedings have been opened against it, </w:t>
            </w:r>
            <w:r w:rsidRPr="00DD1238">
              <w:rPr>
                <w:rFonts w:asciiTheme="majorBidi" w:hAnsiTheme="majorBidi" w:cstheme="majorBidi"/>
                <w:b/>
                <w:lang w:val="en-GB"/>
              </w:rPr>
              <w:t>Form 1</w:t>
            </w:r>
            <w:r w:rsidRPr="00DD123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340038" w14:paraId="6C3A0633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BF71" w14:textId="77777777" w:rsidR="0053157B" w:rsidRPr="00340038" w:rsidRDefault="0053157B" w:rsidP="0053157B">
            <w:pPr>
              <w:autoSpaceDE w:val="0"/>
              <w:autoSpaceDN w:val="0"/>
              <w:adjustRightInd w:val="0"/>
              <w:spacing w:before="60"/>
              <w:ind w:right="252"/>
              <w:rPr>
                <w:rFonts w:asciiTheme="majorBidi" w:hAnsiTheme="majorBidi" w:cstheme="majorBidi"/>
                <w:highlight w:val="yellow"/>
              </w:rPr>
            </w:pPr>
            <w:r w:rsidRPr="00F77CDF">
              <w:rPr>
                <w:rFonts w:asciiTheme="majorBidi" w:hAnsiTheme="majorBidi" w:cstheme="majorBidi"/>
                <w:b/>
              </w:rPr>
              <w:t>Note</w:t>
            </w:r>
            <w:r w:rsidRPr="00F77CDF">
              <w:rPr>
                <w:rFonts w:asciiTheme="majorBidi" w:hAnsiTheme="majorBidi" w:cstheme="majorBidi"/>
                <w:b/>
                <w:lang w:val="bg-BG"/>
              </w:rPr>
              <w:t>:</w:t>
            </w:r>
            <w:r w:rsidRPr="00F77CDF">
              <w:rPr>
                <w:rFonts w:asciiTheme="majorBidi" w:hAnsiTheme="majorBidi" w:cstheme="majorBidi"/>
                <w:lang w:val="bg-BG"/>
              </w:rPr>
              <w:t xml:space="preserve"> </w:t>
            </w:r>
            <w:r w:rsidRPr="00F77CDF">
              <w:rPr>
                <w:rFonts w:asciiTheme="majorBidi" w:hAnsiTheme="majorBidi" w:cstheme="majorBidi"/>
              </w:rPr>
              <w:t>When the Bidder is part of a Consortium, the above-mentioned documents under items 9, 10, 11, 12, 14 and 15 are provided for each partner separately. The documents for the remaining points 1, 2, 3, 4, 5, 6, 7, 8 and 13 are provided by the head office, on behalf of all members of the consortium.</w:t>
            </w:r>
          </w:p>
        </w:tc>
      </w:tr>
      <w:tr w:rsidR="0053157B" w:rsidRPr="00DE537F" w14:paraId="48AA47F6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BC8E" w14:textId="77777777" w:rsidR="0053157B" w:rsidRPr="00DE537F" w:rsidRDefault="0053157B" w:rsidP="0053157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459" w:right="127" w:hanging="442"/>
              <w:rPr>
                <w:rFonts w:asciiTheme="majorBidi" w:hAnsiTheme="majorBidi" w:cstheme="majorBidi"/>
                <w:b/>
                <w:szCs w:val="24"/>
                <w:lang w:val="en-GB"/>
              </w:rPr>
            </w:pPr>
            <w:r w:rsidRPr="00DE537F">
              <w:rPr>
                <w:rFonts w:asciiTheme="majorBidi" w:hAnsiTheme="majorBidi" w:cstheme="majorBidi"/>
                <w:b/>
                <w:szCs w:val="24"/>
                <w:lang w:val="en-GB"/>
              </w:rPr>
              <w:t>Commercial part:</w:t>
            </w:r>
          </w:p>
        </w:tc>
      </w:tr>
      <w:tr w:rsidR="0053157B" w:rsidRPr="00E80368" w14:paraId="1A3A1F20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80EF" w14:textId="77777777" w:rsidR="0053157B" w:rsidRPr="00E80368" w:rsidRDefault="0053157B" w:rsidP="0053157B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E80368">
              <w:rPr>
                <w:rFonts w:asciiTheme="majorBidi" w:hAnsiTheme="majorBidi" w:cstheme="majorBidi"/>
                <w:lang w:val="en-GB"/>
              </w:rPr>
              <w:t xml:space="preserve">List of the documents in Commercial part: </w:t>
            </w:r>
            <w:r w:rsidRPr="00E80368">
              <w:rPr>
                <w:rFonts w:asciiTheme="majorBidi" w:hAnsiTheme="majorBidi" w:cstheme="majorBidi"/>
                <w:b/>
                <w:lang w:val="en-GB"/>
              </w:rPr>
              <w:t>Form 9</w:t>
            </w:r>
            <w:r w:rsidRPr="00E8036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E80368" w14:paraId="2F79DB31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159" w14:textId="77777777" w:rsidR="0053157B" w:rsidRPr="00E80368" w:rsidRDefault="0053157B" w:rsidP="0053157B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E80368">
              <w:rPr>
                <w:rFonts w:asciiTheme="majorBidi" w:hAnsiTheme="majorBidi" w:cstheme="majorBidi"/>
                <w:lang w:val="en-GB"/>
              </w:rPr>
              <w:t xml:space="preserve">Title Page; </w:t>
            </w:r>
            <w:r w:rsidRPr="00E80368">
              <w:rPr>
                <w:rFonts w:asciiTheme="majorBidi" w:hAnsiTheme="majorBidi" w:cstheme="majorBidi"/>
                <w:b/>
                <w:lang w:val="en-GB"/>
              </w:rPr>
              <w:t>Form 6</w:t>
            </w:r>
            <w:r w:rsidRPr="00E8036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  <w:tr w:rsidR="0053157B" w:rsidRPr="00DE537F" w14:paraId="0E79FAAA" w14:textId="77777777" w:rsidTr="0011433B">
        <w:tblPrEx>
          <w:tblBorders>
            <w:insideH w:val="single" w:sz="8" w:space="0" w:color="000000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1B1" w14:textId="77777777" w:rsidR="0053157B" w:rsidRPr="00E80368" w:rsidRDefault="0053157B" w:rsidP="0053157B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459" w:right="252" w:hanging="442"/>
              <w:contextualSpacing w:val="0"/>
              <w:jc w:val="both"/>
              <w:rPr>
                <w:rFonts w:asciiTheme="majorBidi" w:hAnsiTheme="majorBidi" w:cstheme="majorBidi"/>
                <w:lang w:val="en-GB"/>
              </w:rPr>
            </w:pPr>
            <w:r w:rsidRPr="00E80368">
              <w:rPr>
                <w:rFonts w:asciiTheme="majorBidi" w:hAnsiTheme="majorBidi" w:cstheme="majorBidi"/>
                <w:lang w:val="en-GB"/>
              </w:rPr>
              <w:t xml:space="preserve">Commercial (price) proposal; </w:t>
            </w:r>
            <w:r w:rsidRPr="00E80368">
              <w:rPr>
                <w:rFonts w:asciiTheme="majorBidi" w:hAnsiTheme="majorBidi" w:cstheme="majorBidi"/>
                <w:b/>
                <w:lang w:val="en-GB"/>
              </w:rPr>
              <w:t>Form 7</w:t>
            </w:r>
            <w:r w:rsidRPr="00E80368">
              <w:rPr>
                <w:rFonts w:asciiTheme="majorBidi" w:hAnsiTheme="majorBidi" w:cstheme="majorBidi"/>
                <w:lang w:val="en-GB"/>
              </w:rPr>
              <w:t>.</w:t>
            </w:r>
          </w:p>
        </w:tc>
      </w:tr>
    </w:tbl>
    <w:p w14:paraId="78920CDE" w14:textId="77777777" w:rsidR="008C6D32" w:rsidRDefault="008C6D32" w:rsidP="00D4680C">
      <w:pPr>
        <w:spacing w:before="120"/>
        <w:rPr>
          <w:rFonts w:asciiTheme="majorBidi" w:hAnsiTheme="majorBidi" w:cstheme="majorBidi"/>
          <w:szCs w:val="24"/>
          <w:lang w:val="en-GB"/>
        </w:rPr>
      </w:pPr>
    </w:p>
    <w:sectPr w:rsidR="008C6D32" w:rsidSect="00A23CA7">
      <w:footerReference w:type="default" r:id="rId9"/>
      <w:pgSz w:w="11907" w:h="16839" w:code="9"/>
      <w:pgMar w:top="851" w:right="850" w:bottom="709" w:left="1701" w:header="720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E086" w14:textId="77777777" w:rsidR="003F7547" w:rsidRDefault="003F7547" w:rsidP="00CF5625">
      <w:r>
        <w:separator/>
      </w:r>
    </w:p>
  </w:endnote>
  <w:endnote w:type="continuationSeparator" w:id="0">
    <w:p w14:paraId="62D29155" w14:textId="77777777" w:rsidR="003F7547" w:rsidRDefault="003F7547" w:rsidP="00C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165697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D0B33C" w14:textId="3FA3D8EB" w:rsidR="003F7547" w:rsidRPr="00463F6D" w:rsidRDefault="003F7547" w:rsidP="004175B8">
            <w:pPr>
              <w:pStyle w:val="ad"/>
              <w:rPr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Information about the tender</w:t>
            </w:r>
            <w:r>
              <w:rPr>
                <w:sz w:val="20"/>
                <w:lang w:val="bg-BG"/>
              </w:rPr>
              <w:tab/>
            </w:r>
            <w:r>
              <w:rPr>
                <w:sz w:val="20"/>
                <w:lang w:val="bg-BG"/>
              </w:rPr>
              <w:tab/>
            </w:r>
            <w:r w:rsidRPr="004175B8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page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PAGE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5760F1">
              <w:rPr>
                <w:b/>
                <w:bCs/>
                <w:noProof/>
                <w:sz w:val="20"/>
              </w:rPr>
              <w:t>3</w:t>
            </w:r>
            <w:r w:rsidRPr="00463F6D">
              <w:rPr>
                <w:b/>
                <w:bCs/>
                <w:sz w:val="20"/>
              </w:rPr>
              <w:fldChar w:fldCharType="end"/>
            </w:r>
            <w:r w:rsidRPr="00463F6D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NUMPAGES 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5760F1">
              <w:rPr>
                <w:b/>
                <w:bCs/>
                <w:noProof/>
                <w:sz w:val="20"/>
              </w:rPr>
              <w:t>3</w:t>
            </w:r>
            <w:r w:rsidRPr="00463F6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9AEF" w14:textId="77777777" w:rsidR="003F7547" w:rsidRDefault="003F7547" w:rsidP="00CF5625">
      <w:r>
        <w:separator/>
      </w:r>
    </w:p>
  </w:footnote>
  <w:footnote w:type="continuationSeparator" w:id="0">
    <w:p w14:paraId="47231CAD" w14:textId="77777777" w:rsidR="003F7547" w:rsidRDefault="003F7547" w:rsidP="00C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654"/>
    <w:multiLevelType w:val="multilevel"/>
    <w:tmpl w:val="431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AA03E1"/>
    <w:multiLevelType w:val="multilevel"/>
    <w:tmpl w:val="20DE6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F86076"/>
    <w:multiLevelType w:val="hybridMultilevel"/>
    <w:tmpl w:val="CD3A9E76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2935179E"/>
    <w:multiLevelType w:val="hybridMultilevel"/>
    <w:tmpl w:val="9C8E91DA"/>
    <w:lvl w:ilvl="0" w:tplc="915E685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64"/>
    <w:rsid w:val="00001013"/>
    <w:rsid w:val="00001CF6"/>
    <w:rsid w:val="0000369E"/>
    <w:rsid w:val="00003D39"/>
    <w:rsid w:val="00005B9E"/>
    <w:rsid w:val="00007F6B"/>
    <w:rsid w:val="0001165C"/>
    <w:rsid w:val="00011F54"/>
    <w:rsid w:val="00020144"/>
    <w:rsid w:val="00020658"/>
    <w:rsid w:val="00020BDD"/>
    <w:rsid w:val="0002131B"/>
    <w:rsid w:val="00021C7A"/>
    <w:rsid w:val="000241D1"/>
    <w:rsid w:val="000259B9"/>
    <w:rsid w:val="0002601E"/>
    <w:rsid w:val="000303C3"/>
    <w:rsid w:val="000343F5"/>
    <w:rsid w:val="00034803"/>
    <w:rsid w:val="00035BF8"/>
    <w:rsid w:val="00045BFB"/>
    <w:rsid w:val="000500DA"/>
    <w:rsid w:val="0005290E"/>
    <w:rsid w:val="0005538D"/>
    <w:rsid w:val="00056CD3"/>
    <w:rsid w:val="00057A22"/>
    <w:rsid w:val="0006501E"/>
    <w:rsid w:val="00067826"/>
    <w:rsid w:val="00077E0C"/>
    <w:rsid w:val="00086792"/>
    <w:rsid w:val="000913F5"/>
    <w:rsid w:val="00091975"/>
    <w:rsid w:val="00092EC4"/>
    <w:rsid w:val="00095D9B"/>
    <w:rsid w:val="000A37E1"/>
    <w:rsid w:val="000A59A0"/>
    <w:rsid w:val="000B6DE7"/>
    <w:rsid w:val="000D4A00"/>
    <w:rsid w:val="000D60CA"/>
    <w:rsid w:val="000D65A0"/>
    <w:rsid w:val="000D6831"/>
    <w:rsid w:val="000D778A"/>
    <w:rsid w:val="000E1999"/>
    <w:rsid w:val="000E1B26"/>
    <w:rsid w:val="000E5287"/>
    <w:rsid w:val="000F72B7"/>
    <w:rsid w:val="000F7607"/>
    <w:rsid w:val="00110EA0"/>
    <w:rsid w:val="00111AEF"/>
    <w:rsid w:val="0011262E"/>
    <w:rsid w:val="0011433B"/>
    <w:rsid w:val="00114408"/>
    <w:rsid w:val="00114A5B"/>
    <w:rsid w:val="00125292"/>
    <w:rsid w:val="00130138"/>
    <w:rsid w:val="00130AEA"/>
    <w:rsid w:val="00133F5B"/>
    <w:rsid w:val="001347B1"/>
    <w:rsid w:val="00134C80"/>
    <w:rsid w:val="001364B3"/>
    <w:rsid w:val="00136D03"/>
    <w:rsid w:val="00143207"/>
    <w:rsid w:val="00143763"/>
    <w:rsid w:val="00144D5A"/>
    <w:rsid w:val="0014558E"/>
    <w:rsid w:val="00146E24"/>
    <w:rsid w:val="001502D2"/>
    <w:rsid w:val="00151510"/>
    <w:rsid w:val="00151906"/>
    <w:rsid w:val="00151B43"/>
    <w:rsid w:val="0016015E"/>
    <w:rsid w:val="00160BD7"/>
    <w:rsid w:val="0016212A"/>
    <w:rsid w:val="0016280A"/>
    <w:rsid w:val="00162D1E"/>
    <w:rsid w:val="00167AAE"/>
    <w:rsid w:val="00172615"/>
    <w:rsid w:val="00175DB1"/>
    <w:rsid w:val="001761F7"/>
    <w:rsid w:val="00177294"/>
    <w:rsid w:val="00180DDE"/>
    <w:rsid w:val="00182631"/>
    <w:rsid w:val="00183342"/>
    <w:rsid w:val="00183E1C"/>
    <w:rsid w:val="001870A6"/>
    <w:rsid w:val="00190489"/>
    <w:rsid w:val="00192148"/>
    <w:rsid w:val="001964F6"/>
    <w:rsid w:val="001A2011"/>
    <w:rsid w:val="001A36E9"/>
    <w:rsid w:val="001A5F64"/>
    <w:rsid w:val="001A769C"/>
    <w:rsid w:val="001B35C9"/>
    <w:rsid w:val="001B45A1"/>
    <w:rsid w:val="001B5051"/>
    <w:rsid w:val="001C2F9C"/>
    <w:rsid w:val="001C50E4"/>
    <w:rsid w:val="001D0C52"/>
    <w:rsid w:val="001D20E8"/>
    <w:rsid w:val="001D24C7"/>
    <w:rsid w:val="001D2EB6"/>
    <w:rsid w:val="001E73F8"/>
    <w:rsid w:val="001F270C"/>
    <w:rsid w:val="001F3088"/>
    <w:rsid w:val="001F6E71"/>
    <w:rsid w:val="00201B37"/>
    <w:rsid w:val="00203B4A"/>
    <w:rsid w:val="00207C8D"/>
    <w:rsid w:val="002127B0"/>
    <w:rsid w:val="002148AE"/>
    <w:rsid w:val="00220930"/>
    <w:rsid w:val="002226A5"/>
    <w:rsid w:val="002244FA"/>
    <w:rsid w:val="002256F5"/>
    <w:rsid w:val="002264C2"/>
    <w:rsid w:val="00231589"/>
    <w:rsid w:val="0024039A"/>
    <w:rsid w:val="00242548"/>
    <w:rsid w:val="002434FE"/>
    <w:rsid w:val="0025067A"/>
    <w:rsid w:val="002527DF"/>
    <w:rsid w:val="00252DCA"/>
    <w:rsid w:val="00255867"/>
    <w:rsid w:val="0025633F"/>
    <w:rsid w:val="00256F5C"/>
    <w:rsid w:val="00266611"/>
    <w:rsid w:val="0026661E"/>
    <w:rsid w:val="002678C5"/>
    <w:rsid w:val="002712F9"/>
    <w:rsid w:val="002746A8"/>
    <w:rsid w:val="00275079"/>
    <w:rsid w:val="00277BEE"/>
    <w:rsid w:val="00280D68"/>
    <w:rsid w:val="0028128F"/>
    <w:rsid w:val="00281D9C"/>
    <w:rsid w:val="00281FB6"/>
    <w:rsid w:val="00284E70"/>
    <w:rsid w:val="0028671B"/>
    <w:rsid w:val="00287E30"/>
    <w:rsid w:val="00290538"/>
    <w:rsid w:val="0029075C"/>
    <w:rsid w:val="002965E1"/>
    <w:rsid w:val="002A3F89"/>
    <w:rsid w:val="002A4A48"/>
    <w:rsid w:val="002A52A0"/>
    <w:rsid w:val="002A6903"/>
    <w:rsid w:val="002A7F93"/>
    <w:rsid w:val="002B043A"/>
    <w:rsid w:val="002B345D"/>
    <w:rsid w:val="002B42E0"/>
    <w:rsid w:val="002B71CF"/>
    <w:rsid w:val="002B778B"/>
    <w:rsid w:val="002C1435"/>
    <w:rsid w:val="002C173A"/>
    <w:rsid w:val="002C26D2"/>
    <w:rsid w:val="002C390C"/>
    <w:rsid w:val="002D66ED"/>
    <w:rsid w:val="002E2123"/>
    <w:rsid w:val="002E62BF"/>
    <w:rsid w:val="002F0B44"/>
    <w:rsid w:val="002F1774"/>
    <w:rsid w:val="002F3843"/>
    <w:rsid w:val="002F494E"/>
    <w:rsid w:val="002F5C28"/>
    <w:rsid w:val="002F666F"/>
    <w:rsid w:val="002F6B13"/>
    <w:rsid w:val="00300A1E"/>
    <w:rsid w:val="0030443D"/>
    <w:rsid w:val="00304A43"/>
    <w:rsid w:val="00307E84"/>
    <w:rsid w:val="00311898"/>
    <w:rsid w:val="003129AC"/>
    <w:rsid w:val="00312EE3"/>
    <w:rsid w:val="003145B8"/>
    <w:rsid w:val="0031787E"/>
    <w:rsid w:val="003321BA"/>
    <w:rsid w:val="00332B90"/>
    <w:rsid w:val="0033772C"/>
    <w:rsid w:val="00340038"/>
    <w:rsid w:val="00340F60"/>
    <w:rsid w:val="00341A32"/>
    <w:rsid w:val="0034230E"/>
    <w:rsid w:val="00342B38"/>
    <w:rsid w:val="0034558B"/>
    <w:rsid w:val="00351AA4"/>
    <w:rsid w:val="00356070"/>
    <w:rsid w:val="00360DC9"/>
    <w:rsid w:val="0036253A"/>
    <w:rsid w:val="00362857"/>
    <w:rsid w:val="0036368A"/>
    <w:rsid w:val="0036548C"/>
    <w:rsid w:val="00365700"/>
    <w:rsid w:val="00365F3C"/>
    <w:rsid w:val="00366FEE"/>
    <w:rsid w:val="003758A6"/>
    <w:rsid w:val="00376443"/>
    <w:rsid w:val="0037662D"/>
    <w:rsid w:val="00376E6A"/>
    <w:rsid w:val="00381118"/>
    <w:rsid w:val="003837B9"/>
    <w:rsid w:val="003847A3"/>
    <w:rsid w:val="00385CAB"/>
    <w:rsid w:val="003932E4"/>
    <w:rsid w:val="003939DF"/>
    <w:rsid w:val="00393A4C"/>
    <w:rsid w:val="003942DC"/>
    <w:rsid w:val="0039795F"/>
    <w:rsid w:val="003A6AEA"/>
    <w:rsid w:val="003B2254"/>
    <w:rsid w:val="003B3808"/>
    <w:rsid w:val="003B4C86"/>
    <w:rsid w:val="003B73E1"/>
    <w:rsid w:val="003C0F04"/>
    <w:rsid w:val="003C1FFB"/>
    <w:rsid w:val="003C346F"/>
    <w:rsid w:val="003C37E2"/>
    <w:rsid w:val="003C396A"/>
    <w:rsid w:val="003C3E63"/>
    <w:rsid w:val="003C7479"/>
    <w:rsid w:val="003D1390"/>
    <w:rsid w:val="003D5043"/>
    <w:rsid w:val="003E01EC"/>
    <w:rsid w:val="003E0A55"/>
    <w:rsid w:val="003E0ED4"/>
    <w:rsid w:val="003E173F"/>
    <w:rsid w:val="003E1F98"/>
    <w:rsid w:val="003E1FB4"/>
    <w:rsid w:val="003E4487"/>
    <w:rsid w:val="003E5F8F"/>
    <w:rsid w:val="003E7BF3"/>
    <w:rsid w:val="003F151D"/>
    <w:rsid w:val="003F185E"/>
    <w:rsid w:val="003F5938"/>
    <w:rsid w:val="003F7547"/>
    <w:rsid w:val="004026C6"/>
    <w:rsid w:val="00406B7D"/>
    <w:rsid w:val="00412392"/>
    <w:rsid w:val="00414FB0"/>
    <w:rsid w:val="004175B8"/>
    <w:rsid w:val="00423664"/>
    <w:rsid w:val="0042618C"/>
    <w:rsid w:val="00432F60"/>
    <w:rsid w:val="00435F09"/>
    <w:rsid w:val="0043645B"/>
    <w:rsid w:val="00441AC4"/>
    <w:rsid w:val="0044303E"/>
    <w:rsid w:val="00451E25"/>
    <w:rsid w:val="00454172"/>
    <w:rsid w:val="004556AB"/>
    <w:rsid w:val="00455C7C"/>
    <w:rsid w:val="00455DED"/>
    <w:rsid w:val="00463F6D"/>
    <w:rsid w:val="00466DB1"/>
    <w:rsid w:val="00470039"/>
    <w:rsid w:val="004731AE"/>
    <w:rsid w:val="00473B5A"/>
    <w:rsid w:val="004747CC"/>
    <w:rsid w:val="00476102"/>
    <w:rsid w:val="0047727D"/>
    <w:rsid w:val="004803B1"/>
    <w:rsid w:val="00480B74"/>
    <w:rsid w:val="004835FB"/>
    <w:rsid w:val="0048547B"/>
    <w:rsid w:val="00485500"/>
    <w:rsid w:val="00485753"/>
    <w:rsid w:val="00485D1B"/>
    <w:rsid w:val="00486744"/>
    <w:rsid w:val="00487938"/>
    <w:rsid w:val="00492852"/>
    <w:rsid w:val="004A00C7"/>
    <w:rsid w:val="004A2C4F"/>
    <w:rsid w:val="004A5C6C"/>
    <w:rsid w:val="004A69CD"/>
    <w:rsid w:val="004A6B2A"/>
    <w:rsid w:val="004B5528"/>
    <w:rsid w:val="004C1627"/>
    <w:rsid w:val="004C479F"/>
    <w:rsid w:val="004C4A57"/>
    <w:rsid w:val="004C6ECA"/>
    <w:rsid w:val="004D2706"/>
    <w:rsid w:val="004D3FB6"/>
    <w:rsid w:val="004E0E69"/>
    <w:rsid w:val="004E4BFA"/>
    <w:rsid w:val="004F3DBD"/>
    <w:rsid w:val="004F54C8"/>
    <w:rsid w:val="005016E2"/>
    <w:rsid w:val="00506622"/>
    <w:rsid w:val="005066EC"/>
    <w:rsid w:val="00513BA6"/>
    <w:rsid w:val="00516322"/>
    <w:rsid w:val="00517765"/>
    <w:rsid w:val="00521B0F"/>
    <w:rsid w:val="005263D5"/>
    <w:rsid w:val="00530CA6"/>
    <w:rsid w:val="0053157B"/>
    <w:rsid w:val="00532EB5"/>
    <w:rsid w:val="005335CE"/>
    <w:rsid w:val="00534522"/>
    <w:rsid w:val="00534CF4"/>
    <w:rsid w:val="00542B08"/>
    <w:rsid w:val="00544879"/>
    <w:rsid w:val="005470A8"/>
    <w:rsid w:val="00552E31"/>
    <w:rsid w:val="00554015"/>
    <w:rsid w:val="005542B1"/>
    <w:rsid w:val="005548EC"/>
    <w:rsid w:val="00557B42"/>
    <w:rsid w:val="00557E41"/>
    <w:rsid w:val="005602D3"/>
    <w:rsid w:val="005603FA"/>
    <w:rsid w:val="005631EC"/>
    <w:rsid w:val="00564393"/>
    <w:rsid w:val="005670C0"/>
    <w:rsid w:val="00567F6B"/>
    <w:rsid w:val="005717BF"/>
    <w:rsid w:val="0057263A"/>
    <w:rsid w:val="00574EDD"/>
    <w:rsid w:val="0057565F"/>
    <w:rsid w:val="005760F1"/>
    <w:rsid w:val="005766AE"/>
    <w:rsid w:val="00580DFF"/>
    <w:rsid w:val="00583505"/>
    <w:rsid w:val="00584CB7"/>
    <w:rsid w:val="00591893"/>
    <w:rsid w:val="00592A8F"/>
    <w:rsid w:val="00592CBC"/>
    <w:rsid w:val="00596C3E"/>
    <w:rsid w:val="00597FFE"/>
    <w:rsid w:val="005A334D"/>
    <w:rsid w:val="005A50EA"/>
    <w:rsid w:val="005B0740"/>
    <w:rsid w:val="005B1653"/>
    <w:rsid w:val="005B334A"/>
    <w:rsid w:val="005B4302"/>
    <w:rsid w:val="005B4DF6"/>
    <w:rsid w:val="005B773D"/>
    <w:rsid w:val="005C0445"/>
    <w:rsid w:val="005C266F"/>
    <w:rsid w:val="005C4F26"/>
    <w:rsid w:val="005C62EB"/>
    <w:rsid w:val="005D0192"/>
    <w:rsid w:val="005D15FD"/>
    <w:rsid w:val="005D1DDE"/>
    <w:rsid w:val="005D2DDD"/>
    <w:rsid w:val="005D61B6"/>
    <w:rsid w:val="005D7808"/>
    <w:rsid w:val="005E0170"/>
    <w:rsid w:val="005E10BF"/>
    <w:rsid w:val="005E2387"/>
    <w:rsid w:val="005E59D3"/>
    <w:rsid w:val="005E6FFD"/>
    <w:rsid w:val="005F1E4F"/>
    <w:rsid w:val="005F24AA"/>
    <w:rsid w:val="00600E57"/>
    <w:rsid w:val="006055EC"/>
    <w:rsid w:val="00610C96"/>
    <w:rsid w:val="006111EB"/>
    <w:rsid w:val="00611CF6"/>
    <w:rsid w:val="0061648F"/>
    <w:rsid w:val="00617F93"/>
    <w:rsid w:val="006206E8"/>
    <w:rsid w:val="006268C7"/>
    <w:rsid w:val="00630581"/>
    <w:rsid w:val="006317C1"/>
    <w:rsid w:val="00633360"/>
    <w:rsid w:val="006334CF"/>
    <w:rsid w:val="00635875"/>
    <w:rsid w:val="0063682C"/>
    <w:rsid w:val="006422EE"/>
    <w:rsid w:val="00644011"/>
    <w:rsid w:val="006456FF"/>
    <w:rsid w:val="006517B2"/>
    <w:rsid w:val="00654B62"/>
    <w:rsid w:val="006560B8"/>
    <w:rsid w:val="00657931"/>
    <w:rsid w:val="00660A81"/>
    <w:rsid w:val="00660AAC"/>
    <w:rsid w:val="00663F92"/>
    <w:rsid w:val="006706D6"/>
    <w:rsid w:val="00673495"/>
    <w:rsid w:val="006735DC"/>
    <w:rsid w:val="006759A4"/>
    <w:rsid w:val="00676F9F"/>
    <w:rsid w:val="00680926"/>
    <w:rsid w:val="006863FD"/>
    <w:rsid w:val="00690931"/>
    <w:rsid w:val="0069179E"/>
    <w:rsid w:val="00692393"/>
    <w:rsid w:val="00693212"/>
    <w:rsid w:val="00697EB0"/>
    <w:rsid w:val="006A0AF9"/>
    <w:rsid w:val="006A5C33"/>
    <w:rsid w:val="006B070D"/>
    <w:rsid w:val="006B1D6C"/>
    <w:rsid w:val="006B5A56"/>
    <w:rsid w:val="006B6412"/>
    <w:rsid w:val="006C1479"/>
    <w:rsid w:val="006C56A7"/>
    <w:rsid w:val="006D1179"/>
    <w:rsid w:val="006D3F58"/>
    <w:rsid w:val="006E01DD"/>
    <w:rsid w:val="006E0730"/>
    <w:rsid w:val="006E1807"/>
    <w:rsid w:val="006E1EA9"/>
    <w:rsid w:val="006E53AC"/>
    <w:rsid w:val="006E568D"/>
    <w:rsid w:val="006F159C"/>
    <w:rsid w:val="006F66FE"/>
    <w:rsid w:val="00705E36"/>
    <w:rsid w:val="00710A30"/>
    <w:rsid w:val="00714909"/>
    <w:rsid w:val="00714C68"/>
    <w:rsid w:val="00716079"/>
    <w:rsid w:val="00717195"/>
    <w:rsid w:val="0072057A"/>
    <w:rsid w:val="00720E0A"/>
    <w:rsid w:val="00721B07"/>
    <w:rsid w:val="007267E3"/>
    <w:rsid w:val="007352DB"/>
    <w:rsid w:val="00740BEC"/>
    <w:rsid w:val="00743B2F"/>
    <w:rsid w:val="00743DF7"/>
    <w:rsid w:val="00744F72"/>
    <w:rsid w:val="00751B86"/>
    <w:rsid w:val="00753B02"/>
    <w:rsid w:val="00754141"/>
    <w:rsid w:val="0075478D"/>
    <w:rsid w:val="007555A0"/>
    <w:rsid w:val="00756172"/>
    <w:rsid w:val="007576F9"/>
    <w:rsid w:val="0076138B"/>
    <w:rsid w:val="0076192F"/>
    <w:rsid w:val="00763F83"/>
    <w:rsid w:val="007658CC"/>
    <w:rsid w:val="00772DE8"/>
    <w:rsid w:val="00777E21"/>
    <w:rsid w:val="00780103"/>
    <w:rsid w:val="00786E8E"/>
    <w:rsid w:val="007920C0"/>
    <w:rsid w:val="00792259"/>
    <w:rsid w:val="007A0682"/>
    <w:rsid w:val="007A2731"/>
    <w:rsid w:val="007A4B5A"/>
    <w:rsid w:val="007A70D4"/>
    <w:rsid w:val="007B1864"/>
    <w:rsid w:val="007B5202"/>
    <w:rsid w:val="007B6709"/>
    <w:rsid w:val="007B6E0E"/>
    <w:rsid w:val="007C242A"/>
    <w:rsid w:val="007C30BC"/>
    <w:rsid w:val="007C50F1"/>
    <w:rsid w:val="007C57B5"/>
    <w:rsid w:val="007D0846"/>
    <w:rsid w:val="007D3050"/>
    <w:rsid w:val="007D4366"/>
    <w:rsid w:val="007D4F47"/>
    <w:rsid w:val="007D6EF3"/>
    <w:rsid w:val="007D738E"/>
    <w:rsid w:val="007E1303"/>
    <w:rsid w:val="007E2FA0"/>
    <w:rsid w:val="007E4369"/>
    <w:rsid w:val="007E4BEF"/>
    <w:rsid w:val="007F0C98"/>
    <w:rsid w:val="007F764A"/>
    <w:rsid w:val="00802C74"/>
    <w:rsid w:val="00806523"/>
    <w:rsid w:val="00807F02"/>
    <w:rsid w:val="008150F9"/>
    <w:rsid w:val="00820466"/>
    <w:rsid w:val="00820F4F"/>
    <w:rsid w:val="008217CD"/>
    <w:rsid w:val="008217E1"/>
    <w:rsid w:val="00821FD6"/>
    <w:rsid w:val="00824367"/>
    <w:rsid w:val="00826685"/>
    <w:rsid w:val="00827E03"/>
    <w:rsid w:val="00831D84"/>
    <w:rsid w:val="00836C94"/>
    <w:rsid w:val="008416DE"/>
    <w:rsid w:val="008426E6"/>
    <w:rsid w:val="00852952"/>
    <w:rsid w:val="00860BD3"/>
    <w:rsid w:val="00860E03"/>
    <w:rsid w:val="00862AD7"/>
    <w:rsid w:val="0086322C"/>
    <w:rsid w:val="00865004"/>
    <w:rsid w:val="00865F0A"/>
    <w:rsid w:val="0086604E"/>
    <w:rsid w:val="00867F3F"/>
    <w:rsid w:val="00873BF6"/>
    <w:rsid w:val="00875D36"/>
    <w:rsid w:val="00880344"/>
    <w:rsid w:val="008814F5"/>
    <w:rsid w:val="00882D8F"/>
    <w:rsid w:val="008857CB"/>
    <w:rsid w:val="00893DD3"/>
    <w:rsid w:val="008A0D8D"/>
    <w:rsid w:val="008A5AB7"/>
    <w:rsid w:val="008B3EF4"/>
    <w:rsid w:val="008B4B6F"/>
    <w:rsid w:val="008B6CEF"/>
    <w:rsid w:val="008C1BEC"/>
    <w:rsid w:val="008C6271"/>
    <w:rsid w:val="008C6D32"/>
    <w:rsid w:val="008D0F04"/>
    <w:rsid w:val="008D18D7"/>
    <w:rsid w:val="008D1B1B"/>
    <w:rsid w:val="008D20E0"/>
    <w:rsid w:val="008D212C"/>
    <w:rsid w:val="008D32BC"/>
    <w:rsid w:val="008D6889"/>
    <w:rsid w:val="008E2D6B"/>
    <w:rsid w:val="008F174C"/>
    <w:rsid w:val="008F3552"/>
    <w:rsid w:val="008F4AEF"/>
    <w:rsid w:val="008F513F"/>
    <w:rsid w:val="0090544E"/>
    <w:rsid w:val="009067B8"/>
    <w:rsid w:val="00910CC7"/>
    <w:rsid w:val="00912310"/>
    <w:rsid w:val="009165E3"/>
    <w:rsid w:val="009169C7"/>
    <w:rsid w:val="00921EC7"/>
    <w:rsid w:val="00925564"/>
    <w:rsid w:val="00926497"/>
    <w:rsid w:val="009271CF"/>
    <w:rsid w:val="0093128E"/>
    <w:rsid w:val="00932A56"/>
    <w:rsid w:val="00933BB1"/>
    <w:rsid w:val="009422D3"/>
    <w:rsid w:val="00942F88"/>
    <w:rsid w:val="00943C85"/>
    <w:rsid w:val="009477F7"/>
    <w:rsid w:val="00950F35"/>
    <w:rsid w:val="009534C6"/>
    <w:rsid w:val="00954B42"/>
    <w:rsid w:val="00954F72"/>
    <w:rsid w:val="00956C53"/>
    <w:rsid w:val="00962D25"/>
    <w:rsid w:val="00965E21"/>
    <w:rsid w:val="009676C9"/>
    <w:rsid w:val="00970827"/>
    <w:rsid w:val="009731E7"/>
    <w:rsid w:val="00974A73"/>
    <w:rsid w:val="00977C3F"/>
    <w:rsid w:val="00983805"/>
    <w:rsid w:val="0099382D"/>
    <w:rsid w:val="00996E65"/>
    <w:rsid w:val="00997D1B"/>
    <w:rsid w:val="009A35DA"/>
    <w:rsid w:val="009A5C33"/>
    <w:rsid w:val="009A796F"/>
    <w:rsid w:val="009B1AF4"/>
    <w:rsid w:val="009B4802"/>
    <w:rsid w:val="009C0192"/>
    <w:rsid w:val="009C0452"/>
    <w:rsid w:val="009C0F2B"/>
    <w:rsid w:val="009C324F"/>
    <w:rsid w:val="009C4766"/>
    <w:rsid w:val="009D0AB3"/>
    <w:rsid w:val="009D2C75"/>
    <w:rsid w:val="009D6F99"/>
    <w:rsid w:val="009D75BF"/>
    <w:rsid w:val="009E1E42"/>
    <w:rsid w:val="009E2ABB"/>
    <w:rsid w:val="009F0283"/>
    <w:rsid w:val="00A01367"/>
    <w:rsid w:val="00A0138A"/>
    <w:rsid w:val="00A024E7"/>
    <w:rsid w:val="00A0383A"/>
    <w:rsid w:val="00A043E7"/>
    <w:rsid w:val="00A06686"/>
    <w:rsid w:val="00A10C8F"/>
    <w:rsid w:val="00A20E06"/>
    <w:rsid w:val="00A23045"/>
    <w:rsid w:val="00A23CA7"/>
    <w:rsid w:val="00A24FD7"/>
    <w:rsid w:val="00A27428"/>
    <w:rsid w:val="00A337A4"/>
    <w:rsid w:val="00A348A6"/>
    <w:rsid w:val="00A35462"/>
    <w:rsid w:val="00A42FD1"/>
    <w:rsid w:val="00A430C8"/>
    <w:rsid w:val="00A44984"/>
    <w:rsid w:val="00A46027"/>
    <w:rsid w:val="00A46156"/>
    <w:rsid w:val="00A556CB"/>
    <w:rsid w:val="00A5729C"/>
    <w:rsid w:val="00A575C4"/>
    <w:rsid w:val="00A66166"/>
    <w:rsid w:val="00A67165"/>
    <w:rsid w:val="00A6790A"/>
    <w:rsid w:val="00A71703"/>
    <w:rsid w:val="00A73CE5"/>
    <w:rsid w:val="00A7522F"/>
    <w:rsid w:val="00A76B5C"/>
    <w:rsid w:val="00A803D3"/>
    <w:rsid w:val="00A91FAB"/>
    <w:rsid w:val="00A95A8F"/>
    <w:rsid w:val="00AA4774"/>
    <w:rsid w:val="00AA7788"/>
    <w:rsid w:val="00AB193D"/>
    <w:rsid w:val="00AB43EB"/>
    <w:rsid w:val="00AB5720"/>
    <w:rsid w:val="00AB72E4"/>
    <w:rsid w:val="00AC035B"/>
    <w:rsid w:val="00AC26CE"/>
    <w:rsid w:val="00AC3EE3"/>
    <w:rsid w:val="00AC64A4"/>
    <w:rsid w:val="00AC66FC"/>
    <w:rsid w:val="00AC7930"/>
    <w:rsid w:val="00AD1C91"/>
    <w:rsid w:val="00AD5131"/>
    <w:rsid w:val="00AE1DF0"/>
    <w:rsid w:val="00AE3171"/>
    <w:rsid w:val="00AE3B45"/>
    <w:rsid w:val="00AE584C"/>
    <w:rsid w:val="00AF01F2"/>
    <w:rsid w:val="00AF20AB"/>
    <w:rsid w:val="00AF3698"/>
    <w:rsid w:val="00AF5BD9"/>
    <w:rsid w:val="00B02096"/>
    <w:rsid w:val="00B028E6"/>
    <w:rsid w:val="00B0371B"/>
    <w:rsid w:val="00B038A8"/>
    <w:rsid w:val="00B05F2E"/>
    <w:rsid w:val="00B14F3F"/>
    <w:rsid w:val="00B1536C"/>
    <w:rsid w:val="00B216B1"/>
    <w:rsid w:val="00B232E5"/>
    <w:rsid w:val="00B23425"/>
    <w:rsid w:val="00B23B86"/>
    <w:rsid w:val="00B23CC7"/>
    <w:rsid w:val="00B24890"/>
    <w:rsid w:val="00B25682"/>
    <w:rsid w:val="00B25881"/>
    <w:rsid w:val="00B326E0"/>
    <w:rsid w:val="00B32825"/>
    <w:rsid w:val="00B339AD"/>
    <w:rsid w:val="00B33F52"/>
    <w:rsid w:val="00B3727E"/>
    <w:rsid w:val="00B377A8"/>
    <w:rsid w:val="00B41BBC"/>
    <w:rsid w:val="00B42158"/>
    <w:rsid w:val="00B4272C"/>
    <w:rsid w:val="00B5300C"/>
    <w:rsid w:val="00B535BB"/>
    <w:rsid w:val="00B61843"/>
    <w:rsid w:val="00B638FD"/>
    <w:rsid w:val="00B658BE"/>
    <w:rsid w:val="00B66493"/>
    <w:rsid w:val="00B66D55"/>
    <w:rsid w:val="00B7542D"/>
    <w:rsid w:val="00B7736A"/>
    <w:rsid w:val="00B84C3E"/>
    <w:rsid w:val="00B95784"/>
    <w:rsid w:val="00BA1E04"/>
    <w:rsid w:val="00BA2592"/>
    <w:rsid w:val="00BA3CE6"/>
    <w:rsid w:val="00BB480B"/>
    <w:rsid w:val="00BB6698"/>
    <w:rsid w:val="00BB6F92"/>
    <w:rsid w:val="00BC1B9E"/>
    <w:rsid w:val="00BC1C56"/>
    <w:rsid w:val="00BC603C"/>
    <w:rsid w:val="00BC6249"/>
    <w:rsid w:val="00BC6C67"/>
    <w:rsid w:val="00BD154C"/>
    <w:rsid w:val="00BE1F52"/>
    <w:rsid w:val="00BE4A42"/>
    <w:rsid w:val="00BE6A99"/>
    <w:rsid w:val="00BE6B31"/>
    <w:rsid w:val="00BF07AE"/>
    <w:rsid w:val="00BF1853"/>
    <w:rsid w:val="00BF3749"/>
    <w:rsid w:val="00BF3DAB"/>
    <w:rsid w:val="00BF4BE3"/>
    <w:rsid w:val="00BF6EBF"/>
    <w:rsid w:val="00C01AED"/>
    <w:rsid w:val="00C021A3"/>
    <w:rsid w:val="00C0342B"/>
    <w:rsid w:val="00C0380C"/>
    <w:rsid w:val="00C1095B"/>
    <w:rsid w:val="00C111D6"/>
    <w:rsid w:val="00C17EED"/>
    <w:rsid w:val="00C21A8B"/>
    <w:rsid w:val="00C23702"/>
    <w:rsid w:val="00C24969"/>
    <w:rsid w:val="00C24C1F"/>
    <w:rsid w:val="00C25FF3"/>
    <w:rsid w:val="00C26B27"/>
    <w:rsid w:val="00C30682"/>
    <w:rsid w:val="00C32373"/>
    <w:rsid w:val="00C33C52"/>
    <w:rsid w:val="00C33E36"/>
    <w:rsid w:val="00C35CEA"/>
    <w:rsid w:val="00C35D85"/>
    <w:rsid w:val="00C36136"/>
    <w:rsid w:val="00C475D8"/>
    <w:rsid w:val="00C511A6"/>
    <w:rsid w:val="00C52105"/>
    <w:rsid w:val="00C53505"/>
    <w:rsid w:val="00C57F88"/>
    <w:rsid w:val="00C60EFA"/>
    <w:rsid w:val="00C714F5"/>
    <w:rsid w:val="00C807BC"/>
    <w:rsid w:val="00C82C3E"/>
    <w:rsid w:val="00C83AD7"/>
    <w:rsid w:val="00C83AF6"/>
    <w:rsid w:val="00C908C6"/>
    <w:rsid w:val="00C91580"/>
    <w:rsid w:val="00C95BCC"/>
    <w:rsid w:val="00C961B5"/>
    <w:rsid w:val="00C96D41"/>
    <w:rsid w:val="00C97A34"/>
    <w:rsid w:val="00CA264C"/>
    <w:rsid w:val="00CA307D"/>
    <w:rsid w:val="00CA472D"/>
    <w:rsid w:val="00CA7926"/>
    <w:rsid w:val="00CB2461"/>
    <w:rsid w:val="00CB2E75"/>
    <w:rsid w:val="00CB31B1"/>
    <w:rsid w:val="00CB6A10"/>
    <w:rsid w:val="00CB72D9"/>
    <w:rsid w:val="00CB73D5"/>
    <w:rsid w:val="00CB7F64"/>
    <w:rsid w:val="00CC102B"/>
    <w:rsid w:val="00CC1338"/>
    <w:rsid w:val="00CC30A3"/>
    <w:rsid w:val="00CC7BAF"/>
    <w:rsid w:val="00CD13BD"/>
    <w:rsid w:val="00CD14B8"/>
    <w:rsid w:val="00CD2266"/>
    <w:rsid w:val="00CD273E"/>
    <w:rsid w:val="00CD637E"/>
    <w:rsid w:val="00CE0ABD"/>
    <w:rsid w:val="00CE10E8"/>
    <w:rsid w:val="00CE40DF"/>
    <w:rsid w:val="00CE4872"/>
    <w:rsid w:val="00CF3AE4"/>
    <w:rsid w:val="00CF4670"/>
    <w:rsid w:val="00CF5625"/>
    <w:rsid w:val="00D00FDF"/>
    <w:rsid w:val="00D14184"/>
    <w:rsid w:val="00D16309"/>
    <w:rsid w:val="00D202A2"/>
    <w:rsid w:val="00D259CE"/>
    <w:rsid w:val="00D26CE1"/>
    <w:rsid w:val="00D3271E"/>
    <w:rsid w:val="00D32EE1"/>
    <w:rsid w:val="00D355EC"/>
    <w:rsid w:val="00D359B9"/>
    <w:rsid w:val="00D44B25"/>
    <w:rsid w:val="00D45647"/>
    <w:rsid w:val="00D45E78"/>
    <w:rsid w:val="00D4680C"/>
    <w:rsid w:val="00D52421"/>
    <w:rsid w:val="00D54C62"/>
    <w:rsid w:val="00D55245"/>
    <w:rsid w:val="00D57DE1"/>
    <w:rsid w:val="00D60255"/>
    <w:rsid w:val="00D63391"/>
    <w:rsid w:val="00D637AA"/>
    <w:rsid w:val="00D646D5"/>
    <w:rsid w:val="00D7203F"/>
    <w:rsid w:val="00D72BD9"/>
    <w:rsid w:val="00D73A48"/>
    <w:rsid w:val="00D74B09"/>
    <w:rsid w:val="00D81A00"/>
    <w:rsid w:val="00D8369C"/>
    <w:rsid w:val="00D86135"/>
    <w:rsid w:val="00D96838"/>
    <w:rsid w:val="00D97809"/>
    <w:rsid w:val="00DA0411"/>
    <w:rsid w:val="00DA3E76"/>
    <w:rsid w:val="00DA4FAC"/>
    <w:rsid w:val="00DA55B2"/>
    <w:rsid w:val="00DB048D"/>
    <w:rsid w:val="00DB21D4"/>
    <w:rsid w:val="00DB41D3"/>
    <w:rsid w:val="00DB5E58"/>
    <w:rsid w:val="00DB6708"/>
    <w:rsid w:val="00DC1E8F"/>
    <w:rsid w:val="00DC2BFA"/>
    <w:rsid w:val="00DC2E71"/>
    <w:rsid w:val="00DC6ED4"/>
    <w:rsid w:val="00DD1165"/>
    <w:rsid w:val="00DD1238"/>
    <w:rsid w:val="00DD2176"/>
    <w:rsid w:val="00DD4CCD"/>
    <w:rsid w:val="00DD5C7F"/>
    <w:rsid w:val="00DD7127"/>
    <w:rsid w:val="00DD7823"/>
    <w:rsid w:val="00DE3CDC"/>
    <w:rsid w:val="00DE4B58"/>
    <w:rsid w:val="00DE537F"/>
    <w:rsid w:val="00DE6676"/>
    <w:rsid w:val="00DF0D2E"/>
    <w:rsid w:val="00DF2781"/>
    <w:rsid w:val="00DF2D13"/>
    <w:rsid w:val="00DF35CC"/>
    <w:rsid w:val="00DF4AA1"/>
    <w:rsid w:val="00DF5998"/>
    <w:rsid w:val="00DF6612"/>
    <w:rsid w:val="00DF66EE"/>
    <w:rsid w:val="00DF7B63"/>
    <w:rsid w:val="00DF7C07"/>
    <w:rsid w:val="00E003C7"/>
    <w:rsid w:val="00E01385"/>
    <w:rsid w:val="00E05411"/>
    <w:rsid w:val="00E11469"/>
    <w:rsid w:val="00E13B3D"/>
    <w:rsid w:val="00E14748"/>
    <w:rsid w:val="00E15014"/>
    <w:rsid w:val="00E1793E"/>
    <w:rsid w:val="00E21D4A"/>
    <w:rsid w:val="00E21E8A"/>
    <w:rsid w:val="00E27157"/>
    <w:rsid w:val="00E31D32"/>
    <w:rsid w:val="00E32574"/>
    <w:rsid w:val="00E4197E"/>
    <w:rsid w:val="00E424D3"/>
    <w:rsid w:val="00E42EBB"/>
    <w:rsid w:val="00E43684"/>
    <w:rsid w:val="00E465C2"/>
    <w:rsid w:val="00E474E1"/>
    <w:rsid w:val="00E52F31"/>
    <w:rsid w:val="00E54B97"/>
    <w:rsid w:val="00E57A7E"/>
    <w:rsid w:val="00E60220"/>
    <w:rsid w:val="00E6105C"/>
    <w:rsid w:val="00E70BD2"/>
    <w:rsid w:val="00E72A71"/>
    <w:rsid w:val="00E80368"/>
    <w:rsid w:val="00E80C2E"/>
    <w:rsid w:val="00E9098E"/>
    <w:rsid w:val="00E912F7"/>
    <w:rsid w:val="00E9583C"/>
    <w:rsid w:val="00E9794C"/>
    <w:rsid w:val="00EA1753"/>
    <w:rsid w:val="00EA6B78"/>
    <w:rsid w:val="00EA7411"/>
    <w:rsid w:val="00EB008B"/>
    <w:rsid w:val="00EB010C"/>
    <w:rsid w:val="00EB38FF"/>
    <w:rsid w:val="00EB4CEB"/>
    <w:rsid w:val="00EB6EDF"/>
    <w:rsid w:val="00EC3B8A"/>
    <w:rsid w:val="00EC3F61"/>
    <w:rsid w:val="00ED0FA6"/>
    <w:rsid w:val="00ED248E"/>
    <w:rsid w:val="00ED4B15"/>
    <w:rsid w:val="00ED652D"/>
    <w:rsid w:val="00EF0125"/>
    <w:rsid w:val="00EF03CA"/>
    <w:rsid w:val="00EF0D79"/>
    <w:rsid w:val="00EF42AE"/>
    <w:rsid w:val="00EF559E"/>
    <w:rsid w:val="00F01186"/>
    <w:rsid w:val="00F03C2A"/>
    <w:rsid w:val="00F0679E"/>
    <w:rsid w:val="00F10027"/>
    <w:rsid w:val="00F110EC"/>
    <w:rsid w:val="00F12205"/>
    <w:rsid w:val="00F13583"/>
    <w:rsid w:val="00F13670"/>
    <w:rsid w:val="00F13904"/>
    <w:rsid w:val="00F20F98"/>
    <w:rsid w:val="00F21D2D"/>
    <w:rsid w:val="00F238BF"/>
    <w:rsid w:val="00F2516D"/>
    <w:rsid w:val="00F26CE6"/>
    <w:rsid w:val="00F2740B"/>
    <w:rsid w:val="00F314C5"/>
    <w:rsid w:val="00F32F9F"/>
    <w:rsid w:val="00F3399A"/>
    <w:rsid w:val="00F33B50"/>
    <w:rsid w:val="00F33E4D"/>
    <w:rsid w:val="00F41B8C"/>
    <w:rsid w:val="00F41DB6"/>
    <w:rsid w:val="00F43D0E"/>
    <w:rsid w:val="00F500D0"/>
    <w:rsid w:val="00F514F6"/>
    <w:rsid w:val="00F5434E"/>
    <w:rsid w:val="00F62360"/>
    <w:rsid w:val="00F64207"/>
    <w:rsid w:val="00F66E66"/>
    <w:rsid w:val="00F67B07"/>
    <w:rsid w:val="00F73250"/>
    <w:rsid w:val="00F738E8"/>
    <w:rsid w:val="00F77CDF"/>
    <w:rsid w:val="00F810E1"/>
    <w:rsid w:val="00F81216"/>
    <w:rsid w:val="00F83162"/>
    <w:rsid w:val="00F84B4B"/>
    <w:rsid w:val="00F84D33"/>
    <w:rsid w:val="00F87722"/>
    <w:rsid w:val="00F91663"/>
    <w:rsid w:val="00FA33FF"/>
    <w:rsid w:val="00FA4BA8"/>
    <w:rsid w:val="00FA6764"/>
    <w:rsid w:val="00FA684B"/>
    <w:rsid w:val="00FA6BCB"/>
    <w:rsid w:val="00FB284D"/>
    <w:rsid w:val="00FB34B0"/>
    <w:rsid w:val="00FB357F"/>
    <w:rsid w:val="00FB3B5B"/>
    <w:rsid w:val="00FB7049"/>
    <w:rsid w:val="00FB75BF"/>
    <w:rsid w:val="00FC4543"/>
    <w:rsid w:val="00FC46CA"/>
    <w:rsid w:val="00FC693B"/>
    <w:rsid w:val="00FC752E"/>
    <w:rsid w:val="00FD04AB"/>
    <w:rsid w:val="00FD245E"/>
    <w:rsid w:val="00FD7326"/>
    <w:rsid w:val="00FE1969"/>
    <w:rsid w:val="00FE28A8"/>
    <w:rsid w:val="00FE585F"/>
    <w:rsid w:val="00FE791D"/>
    <w:rsid w:val="00FF1E6A"/>
    <w:rsid w:val="00FF3050"/>
    <w:rsid w:val="00FF334F"/>
    <w:rsid w:val="00FF45C9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EA41"/>
  <w15:docId w15:val="{141B337B-0361-429B-81B9-EC80C5F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aliases w:val="level2(a)"/>
    <w:basedOn w:val="a"/>
    <w:next w:val="a"/>
    <w:link w:val="80"/>
    <w:qFormat/>
    <w:rsid w:val="00005B9E"/>
    <w:pPr>
      <w:keepNext/>
      <w:tabs>
        <w:tab w:val="num" w:pos="1440"/>
      </w:tabs>
      <w:ind w:left="1440" w:right="-852" w:hanging="432"/>
      <w:jc w:val="right"/>
      <w:outlineLvl w:val="7"/>
    </w:pPr>
    <w:rPr>
      <w:rFonts w:ascii="Futuris" w:hAnsi="Futuris"/>
      <w:b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5625"/>
    <w:pPr>
      <w:jc w:val="center"/>
    </w:pPr>
    <w:rPr>
      <w:b/>
      <w:sz w:val="44"/>
    </w:rPr>
  </w:style>
  <w:style w:type="character" w:customStyle="1" w:styleId="a4">
    <w:name w:val="Подзаглавие Знак"/>
    <w:basedOn w:val="a0"/>
    <w:link w:val="a3"/>
    <w:rsid w:val="00CF5625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i">
    <w:name w:val="(i)"/>
    <w:basedOn w:val="a"/>
    <w:rsid w:val="00CF5625"/>
    <w:pPr>
      <w:suppressAutoHyphens/>
    </w:pPr>
    <w:rPr>
      <w:rFonts w:ascii="Tms Rmn" w:hAnsi="Tms Rmn"/>
    </w:rPr>
  </w:style>
  <w:style w:type="paragraph" w:styleId="a5">
    <w:name w:val="footnote text"/>
    <w:basedOn w:val="a"/>
    <w:link w:val="a6"/>
    <w:uiPriority w:val="99"/>
    <w:rsid w:val="00CF5625"/>
    <w:pPr>
      <w:jc w:val="left"/>
    </w:pPr>
    <w:rPr>
      <w:sz w:val="20"/>
      <w:lang w:val="ru-RU" w:eastAsia="ru-RU"/>
    </w:rPr>
  </w:style>
  <w:style w:type="character" w:customStyle="1" w:styleId="a6">
    <w:name w:val="Текст под линия Знак"/>
    <w:basedOn w:val="a0"/>
    <w:link w:val="a5"/>
    <w:uiPriority w:val="99"/>
    <w:rsid w:val="00CF5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rsid w:val="00CF5625"/>
    <w:rPr>
      <w:rFonts w:ascii="CG Times" w:hAnsi="CG Times" w:cs="Times New Roman"/>
      <w:vertAlign w:val="superscript"/>
    </w:rPr>
  </w:style>
  <w:style w:type="character" w:styleId="a8">
    <w:name w:val="Hyperlink"/>
    <w:basedOn w:val="a0"/>
    <w:uiPriority w:val="99"/>
    <w:rsid w:val="00F66E66"/>
    <w:rPr>
      <w:rFonts w:cs="Times New Roman"/>
      <w:color w:val="0000FF"/>
      <w:u w:val="single"/>
    </w:rPr>
  </w:style>
  <w:style w:type="paragraph" w:styleId="a9">
    <w:name w:val="List Paragraph"/>
    <w:aliases w:val="Нумерованый список,List Paragraph1,Ioia?iaaiue nienie,Aacao nienea"/>
    <w:basedOn w:val="a"/>
    <w:link w:val="aa"/>
    <w:uiPriority w:val="34"/>
    <w:qFormat/>
    <w:rsid w:val="00F66E66"/>
    <w:pPr>
      <w:ind w:left="720"/>
      <w:contextualSpacing/>
      <w:jc w:val="left"/>
    </w:pPr>
    <w:rPr>
      <w:rFonts w:ascii="Futuris" w:hAnsi="Futuris"/>
      <w:szCs w:val="24"/>
      <w:lang w:val="ru-RU" w:eastAsia="ru-RU"/>
    </w:rPr>
  </w:style>
  <w:style w:type="character" w:customStyle="1" w:styleId="aa">
    <w:name w:val="Списък на абзаци Знак"/>
    <w:aliases w:val="Нумерованый список Знак,List Paragraph1 Знак,Ioia?iaaiue nienie Знак,Aacao nienea Знак"/>
    <w:link w:val="a9"/>
    <w:uiPriority w:val="34"/>
    <w:locked/>
    <w:rsid w:val="00F66E66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c">
    <w:name w:val="Горен колонтитул Знак"/>
    <w:basedOn w:val="a0"/>
    <w:link w:val="ab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e">
    <w:name w:val="Долен колонтитул Знак"/>
    <w:basedOn w:val="a0"/>
    <w:link w:val="ad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лавие 8 Знак"/>
    <w:aliases w:val="level2(a) Знак"/>
    <w:basedOn w:val="a0"/>
    <w:link w:val="8"/>
    <w:rsid w:val="00005B9E"/>
    <w:rPr>
      <w:rFonts w:ascii="Futuris" w:eastAsia="Times New Roman" w:hAnsi="Futuris" w:cs="Times New Roman"/>
      <w:b/>
      <w:sz w:val="24"/>
      <w:szCs w:val="20"/>
      <w:lang w:val="ru-RU" w:eastAsia="ko-KR"/>
    </w:rPr>
  </w:style>
  <w:style w:type="paragraph" w:styleId="af">
    <w:name w:val="Balloon Text"/>
    <w:basedOn w:val="a"/>
    <w:link w:val="af0"/>
    <w:uiPriority w:val="99"/>
    <w:semiHidden/>
    <w:unhideWhenUsed/>
    <w:rsid w:val="00BF6EBF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BF6EBF"/>
    <w:rPr>
      <w:rFonts w:ascii="Tahoma" w:eastAsia="Times New Roman" w:hAnsi="Tahoma" w:cs="Tahoma"/>
      <w:sz w:val="16"/>
      <w:szCs w:val="16"/>
    </w:rPr>
  </w:style>
  <w:style w:type="character" w:customStyle="1" w:styleId="translation5">
    <w:name w:val="translation5"/>
    <w:basedOn w:val="a0"/>
    <w:rsid w:val="00865004"/>
    <w:rPr>
      <w:color w:val="FFFFFF"/>
      <w:sz w:val="30"/>
      <w:szCs w:val="30"/>
    </w:rPr>
  </w:style>
  <w:style w:type="character" w:customStyle="1" w:styleId="tendertamettl1">
    <w:name w:val="tender_tame_ttl1"/>
    <w:basedOn w:val="a0"/>
    <w:rsid w:val="00557E41"/>
  </w:style>
  <w:style w:type="character" w:styleId="af1">
    <w:name w:val="Strong"/>
    <w:basedOn w:val="a0"/>
    <w:uiPriority w:val="22"/>
    <w:qFormat/>
    <w:rsid w:val="00EC3B8A"/>
    <w:rPr>
      <w:b/>
      <w:bCs/>
      <w:i w:val="0"/>
      <w:iCs w:val="0"/>
    </w:rPr>
  </w:style>
  <w:style w:type="paragraph" w:customStyle="1" w:styleId="1">
    <w:name w:val="Списък на абзаци1"/>
    <w:basedOn w:val="a"/>
    <w:qFormat/>
    <w:rsid w:val="00A76B5C"/>
    <w:pPr>
      <w:ind w:left="720"/>
      <w:contextualSpacing/>
      <w:jc w:val="left"/>
    </w:pPr>
    <w:rPr>
      <w:szCs w:val="24"/>
      <w:lang w:val="bg-BG" w:eastAsia="bg-BG"/>
    </w:rPr>
  </w:style>
  <w:style w:type="character" w:customStyle="1" w:styleId="Other">
    <w:name w:val="Other_"/>
    <w:link w:val="Other0"/>
    <w:rsid w:val="00D32EE1"/>
    <w:rPr>
      <w:i/>
      <w:iCs/>
    </w:rPr>
  </w:style>
  <w:style w:type="paragraph" w:customStyle="1" w:styleId="Other0">
    <w:name w:val="Other"/>
    <w:basedOn w:val="a"/>
    <w:link w:val="Other"/>
    <w:rsid w:val="00D32EE1"/>
    <w:pPr>
      <w:widowControl w:val="0"/>
      <w:jc w:val="left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af2">
    <w:name w:val="Emphasis"/>
    <w:uiPriority w:val="20"/>
    <w:qFormat/>
    <w:rsid w:val="00F2516D"/>
    <w:rPr>
      <w:i/>
      <w:iCs/>
    </w:rPr>
  </w:style>
  <w:style w:type="character" w:customStyle="1" w:styleId="rynqvb">
    <w:name w:val="rynqvb"/>
    <w:basedOn w:val="a0"/>
    <w:rsid w:val="0027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ov.Antoni.G@neftochi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9FC7-6822-4010-8177-184F05ED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Lukoil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Dilmukhametov, Azat Y.</dc:creator>
  <cp:lastModifiedBy>Антоний Георгиев Андонов</cp:lastModifiedBy>
  <cp:revision>182</cp:revision>
  <cp:lastPrinted>2018-02-09T08:24:00Z</cp:lastPrinted>
  <dcterms:created xsi:type="dcterms:W3CDTF">2020-05-18T16:42:00Z</dcterms:created>
  <dcterms:modified xsi:type="dcterms:W3CDTF">2024-07-29T07:46:00Z</dcterms:modified>
</cp:coreProperties>
</file>